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0C523" w14:textId="5740BDB6" w:rsidR="00901CCA" w:rsidRPr="00901CCA" w:rsidRDefault="00901CCA" w:rsidP="00214D46">
      <w:pPr>
        <w:jc w:val="center"/>
        <w:rPr>
          <w:rFonts w:ascii="Arial" w:hAnsi="Arial" w:cs="Arial"/>
          <w:b/>
          <w:sz w:val="40"/>
          <w:szCs w:val="28"/>
        </w:rPr>
      </w:pPr>
      <w:r w:rsidRPr="00901CCA">
        <w:rPr>
          <w:rFonts w:ascii="Arial" w:hAnsi="Arial" w:cs="Arial"/>
          <w:b/>
          <w:sz w:val="40"/>
          <w:szCs w:val="28"/>
        </w:rPr>
        <w:t xml:space="preserve">The Effect of Introductory Training on the Use of </w:t>
      </w:r>
      <w:r w:rsidR="0092591C" w:rsidRPr="004C2423">
        <w:rPr>
          <w:noProof/>
        </w:rPr>
        <w:drawing>
          <wp:anchor distT="0" distB="0" distL="114300" distR="114300" simplePos="0" relativeHeight="251659264" behindDoc="0" locked="1" layoutInCell="1" allowOverlap="1" wp14:anchorId="2A35851B" wp14:editId="15D43D89">
            <wp:simplePos x="0" y="0"/>
            <wp:positionH relativeFrom="column">
              <wp:posOffset>1882140</wp:posOffset>
            </wp:positionH>
            <wp:positionV relativeFrom="topMargin">
              <wp:align>bottom</wp:align>
            </wp:positionV>
            <wp:extent cx="1661160" cy="770890"/>
            <wp:effectExtent l="0" t="0" r="0" b="0"/>
            <wp:wrapTopAndBottom/>
            <wp:docPr id="2" name="Picture 2" descr="PEQ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QA_updated.png"/>
                    <pic:cNvPicPr/>
                  </pic:nvPicPr>
                  <pic:blipFill>
                    <a:blip r:embed="rId6">
                      <a:extLst>
                        <a:ext uri="{28A0092B-C50C-407E-A947-70E740481C1C}">
                          <a14:useLocalDpi xmlns:a14="http://schemas.microsoft.com/office/drawing/2010/main" val="0"/>
                        </a:ext>
                      </a:extLst>
                    </a:blip>
                    <a:stretch>
                      <a:fillRect/>
                    </a:stretch>
                  </pic:blipFill>
                  <pic:spPr>
                    <a:xfrm>
                      <a:off x="0" y="0"/>
                      <a:ext cx="1661160" cy="770890"/>
                    </a:xfrm>
                    <a:prstGeom prst="rect">
                      <a:avLst/>
                    </a:prstGeom>
                  </pic:spPr>
                </pic:pic>
              </a:graphicData>
            </a:graphic>
            <wp14:sizeRelH relativeFrom="margin">
              <wp14:pctWidth>0</wp14:pctWidth>
            </wp14:sizeRelH>
            <wp14:sizeRelV relativeFrom="margin">
              <wp14:pctHeight>0</wp14:pctHeight>
            </wp14:sizeRelV>
          </wp:anchor>
        </w:drawing>
      </w:r>
      <w:r w:rsidRPr="00901CCA">
        <w:rPr>
          <w:rFonts w:ascii="Arial" w:hAnsi="Arial" w:cs="Arial"/>
          <w:b/>
          <w:sz w:val="40"/>
          <w:szCs w:val="28"/>
        </w:rPr>
        <w:t>Motivational Interviewing in Vocational Rehabilitation</w:t>
      </w:r>
    </w:p>
    <w:p w14:paraId="2537B444" w14:textId="0C225EEC" w:rsidR="00901CCA" w:rsidRPr="00901CCA" w:rsidRDefault="0092591C" w:rsidP="00901CCA">
      <w:pPr>
        <w:rPr>
          <w:rFonts w:ascii="Arial" w:hAnsi="Arial" w:cs="Arial"/>
          <w:sz w:val="28"/>
          <w:szCs w:val="28"/>
        </w:rPr>
      </w:pPr>
      <w:r>
        <w:rPr>
          <w:rFonts w:ascii="Arial" w:hAnsi="Arial" w:cs="Arial"/>
          <w:b/>
          <w:sz w:val="28"/>
          <w:szCs w:val="28"/>
        </w:rPr>
        <w:t xml:space="preserve">By: </w:t>
      </w:r>
      <w:r>
        <w:rPr>
          <w:rFonts w:ascii="Arial" w:hAnsi="Arial" w:cs="Arial"/>
          <w:b/>
          <w:sz w:val="28"/>
          <w:szCs w:val="28"/>
        </w:rPr>
        <w:tab/>
      </w:r>
      <w:r w:rsidR="00901CCA" w:rsidRPr="00901CCA">
        <w:rPr>
          <w:rFonts w:ascii="Arial" w:hAnsi="Arial" w:cs="Arial"/>
          <w:b/>
          <w:sz w:val="28"/>
          <w:szCs w:val="28"/>
        </w:rPr>
        <w:t>David R. Higginbotham, MS</w:t>
      </w:r>
      <w:r w:rsidR="00901CCA" w:rsidRPr="00901CCA">
        <w:rPr>
          <w:rFonts w:ascii="Arial" w:hAnsi="Arial" w:cs="Arial"/>
          <w:sz w:val="28"/>
          <w:szCs w:val="28"/>
        </w:rPr>
        <w:t xml:space="preserve"> – Louisiana Rehabilitation Services</w:t>
      </w:r>
    </w:p>
    <w:p w14:paraId="650B542A" w14:textId="77777777" w:rsidR="00901CCA" w:rsidRPr="00901CCA" w:rsidRDefault="00901CCA" w:rsidP="0092591C">
      <w:pPr>
        <w:ind w:firstLine="720"/>
        <w:rPr>
          <w:rFonts w:ascii="Arial" w:hAnsi="Arial" w:cs="Arial"/>
          <w:sz w:val="28"/>
          <w:szCs w:val="28"/>
        </w:rPr>
      </w:pPr>
      <w:r w:rsidRPr="00901CCA">
        <w:rPr>
          <w:rFonts w:ascii="Arial" w:hAnsi="Arial" w:cs="Arial"/>
          <w:b/>
          <w:sz w:val="28"/>
          <w:szCs w:val="28"/>
        </w:rPr>
        <w:t>Timothy N. Tansey, Ph.D., CRC</w:t>
      </w:r>
      <w:r w:rsidRPr="00901CCA">
        <w:rPr>
          <w:rFonts w:ascii="Arial" w:hAnsi="Arial" w:cs="Arial"/>
          <w:sz w:val="28"/>
          <w:szCs w:val="28"/>
        </w:rPr>
        <w:t xml:space="preserve"> – University of Wisconsin - Madison</w:t>
      </w:r>
    </w:p>
    <w:p w14:paraId="5026D93C" w14:textId="77777777" w:rsidR="00901CCA" w:rsidRPr="00214D46" w:rsidRDefault="00901CCA" w:rsidP="00901CCA">
      <w:pPr>
        <w:rPr>
          <w:rFonts w:ascii="Arial" w:hAnsi="Arial" w:cs="Arial"/>
          <w:sz w:val="28"/>
          <w:szCs w:val="28"/>
        </w:rPr>
      </w:pPr>
    </w:p>
    <w:p w14:paraId="36D5B6CE" w14:textId="21FB8800" w:rsidR="00901CCA" w:rsidRPr="0092591C" w:rsidRDefault="00901CCA" w:rsidP="0092591C">
      <w:pPr>
        <w:jc w:val="center"/>
        <w:rPr>
          <w:rFonts w:ascii="Arial" w:hAnsi="Arial" w:cs="Arial"/>
          <w:b/>
          <w:sz w:val="28"/>
          <w:szCs w:val="28"/>
        </w:rPr>
      </w:pPr>
      <w:r w:rsidRPr="0092591C">
        <w:rPr>
          <w:rFonts w:ascii="Arial" w:hAnsi="Arial" w:cs="Arial"/>
          <w:b/>
          <w:sz w:val="28"/>
          <w:szCs w:val="28"/>
        </w:rPr>
        <w:t>Introduction</w:t>
      </w:r>
    </w:p>
    <w:p w14:paraId="17A7554A" w14:textId="3FD2D76D" w:rsidR="00901CCA" w:rsidRPr="00901CCA" w:rsidRDefault="00901CCA" w:rsidP="00901CCA">
      <w:pPr>
        <w:rPr>
          <w:rFonts w:ascii="Arial" w:hAnsi="Arial" w:cs="Arial"/>
          <w:sz w:val="28"/>
          <w:szCs w:val="28"/>
        </w:rPr>
      </w:pPr>
      <w:r w:rsidRPr="00901CCA">
        <w:rPr>
          <w:rFonts w:ascii="Arial" w:hAnsi="Arial" w:cs="Arial"/>
          <w:sz w:val="28"/>
          <w:szCs w:val="28"/>
        </w:rPr>
        <w:t xml:space="preserve">In recent years, </w:t>
      </w:r>
      <w:proofErr w:type="gramStart"/>
      <w:r w:rsidRPr="00901CCA">
        <w:rPr>
          <w:rFonts w:ascii="Arial" w:hAnsi="Arial" w:cs="Arial"/>
          <w:sz w:val="28"/>
          <w:szCs w:val="28"/>
        </w:rPr>
        <w:t>a number of</w:t>
      </w:r>
      <w:proofErr w:type="gramEnd"/>
      <w:r w:rsidRPr="00901CCA">
        <w:rPr>
          <w:rFonts w:ascii="Arial" w:hAnsi="Arial" w:cs="Arial"/>
          <w:sz w:val="28"/>
          <w:szCs w:val="28"/>
        </w:rPr>
        <w:t xml:space="preserve"> state vocational rehabilitation agencies have adopted Motivational Interviewing (MI) as part of a process to revitalize the provision of vocational counseling and guidance in the federal/state vocational rehabilitation system. Miller and Rollnick (1991) defined MI as a “goal-oriented, consumer-centered counseling style for eliciting behavior change by helping consumers to explore and resolve ambivalence.” Wagner and McMahon (2004) noted that both MI and vocational rehabilitation counseling focus on resolving ambivalence to change and promote consumer self-determination through decision making, goal setting, and achievement.</w:t>
      </w:r>
    </w:p>
    <w:p w14:paraId="097FC7FD" w14:textId="77777777" w:rsidR="00901CCA" w:rsidRPr="00901CCA" w:rsidRDefault="00901CCA" w:rsidP="00901CCA">
      <w:pPr>
        <w:rPr>
          <w:rFonts w:ascii="Arial" w:hAnsi="Arial" w:cs="Arial"/>
          <w:sz w:val="28"/>
          <w:szCs w:val="28"/>
        </w:rPr>
      </w:pPr>
      <w:r w:rsidRPr="00901CCA">
        <w:rPr>
          <w:rFonts w:ascii="Arial" w:hAnsi="Arial" w:cs="Arial"/>
          <w:sz w:val="28"/>
          <w:szCs w:val="28"/>
        </w:rPr>
        <w:t xml:space="preserve">MI has been recognized </w:t>
      </w:r>
      <w:proofErr w:type="gramStart"/>
      <w:r w:rsidRPr="00901CCA">
        <w:rPr>
          <w:rFonts w:ascii="Arial" w:hAnsi="Arial" w:cs="Arial"/>
          <w:sz w:val="28"/>
          <w:szCs w:val="28"/>
        </w:rPr>
        <w:t>as a means to</w:t>
      </w:r>
      <w:proofErr w:type="gramEnd"/>
      <w:r w:rsidRPr="00901CCA">
        <w:rPr>
          <w:rFonts w:ascii="Arial" w:hAnsi="Arial" w:cs="Arial"/>
          <w:sz w:val="28"/>
          <w:szCs w:val="28"/>
        </w:rPr>
        <w:t xml:space="preserve"> facilitate the development of a strong working alliance between the client and the therapist (Boardman, </w:t>
      </w:r>
      <w:proofErr w:type="spellStart"/>
      <w:r w:rsidRPr="00901CCA">
        <w:rPr>
          <w:rFonts w:ascii="Arial" w:hAnsi="Arial" w:cs="Arial"/>
          <w:sz w:val="28"/>
          <w:szCs w:val="28"/>
        </w:rPr>
        <w:t>Catley</w:t>
      </w:r>
      <w:proofErr w:type="spellEnd"/>
      <w:r w:rsidRPr="00901CCA">
        <w:rPr>
          <w:rFonts w:ascii="Arial" w:hAnsi="Arial" w:cs="Arial"/>
          <w:sz w:val="28"/>
          <w:szCs w:val="28"/>
        </w:rPr>
        <w:t xml:space="preserve">, </w:t>
      </w:r>
      <w:proofErr w:type="spellStart"/>
      <w:r w:rsidRPr="00901CCA">
        <w:rPr>
          <w:rFonts w:ascii="Arial" w:hAnsi="Arial" w:cs="Arial"/>
          <w:sz w:val="28"/>
          <w:szCs w:val="28"/>
        </w:rPr>
        <w:t>Grobe</w:t>
      </w:r>
      <w:proofErr w:type="spellEnd"/>
      <w:r w:rsidRPr="00901CCA">
        <w:rPr>
          <w:rFonts w:ascii="Arial" w:hAnsi="Arial" w:cs="Arial"/>
          <w:sz w:val="28"/>
          <w:szCs w:val="28"/>
        </w:rPr>
        <w:t xml:space="preserve">, Little, and Ahluwalia, 2006). Lustig, </w:t>
      </w:r>
      <w:proofErr w:type="spellStart"/>
      <w:r w:rsidRPr="00901CCA">
        <w:rPr>
          <w:rFonts w:ascii="Arial" w:hAnsi="Arial" w:cs="Arial"/>
          <w:sz w:val="28"/>
          <w:szCs w:val="28"/>
        </w:rPr>
        <w:t>Strauser</w:t>
      </w:r>
      <w:proofErr w:type="spellEnd"/>
      <w:r w:rsidRPr="00901CCA">
        <w:rPr>
          <w:rFonts w:ascii="Arial" w:hAnsi="Arial" w:cs="Arial"/>
          <w:sz w:val="28"/>
          <w:szCs w:val="28"/>
        </w:rPr>
        <w:t>, Rice, and Rucker (2002) showed that a strong working alliance with the vocational rehabilitation counselor was associated with successful employment outcomes, job satisfaction for employed vocational rehabilitation consumers, and a more positive outlook on future employment prospects for those who were unemployed.</w:t>
      </w:r>
    </w:p>
    <w:p w14:paraId="0627DFB3" w14:textId="4299B9FA" w:rsidR="00901CCA" w:rsidRPr="00901CCA" w:rsidRDefault="00901CCA" w:rsidP="00901CCA">
      <w:pPr>
        <w:rPr>
          <w:rFonts w:ascii="Arial" w:hAnsi="Arial" w:cs="Arial"/>
          <w:sz w:val="28"/>
          <w:szCs w:val="28"/>
        </w:rPr>
      </w:pPr>
      <w:r w:rsidRPr="00901CCA">
        <w:rPr>
          <w:rFonts w:ascii="Arial" w:hAnsi="Arial" w:cs="Arial"/>
          <w:b/>
          <w:bCs/>
          <w:sz w:val="28"/>
          <w:szCs w:val="28"/>
        </w:rPr>
        <w:t>Previous Studies</w:t>
      </w:r>
    </w:p>
    <w:p w14:paraId="42BD7EA3" w14:textId="77777777" w:rsidR="00901CCA" w:rsidRPr="00901CCA" w:rsidRDefault="00901CCA" w:rsidP="00901CCA">
      <w:pPr>
        <w:rPr>
          <w:rFonts w:ascii="Arial" w:hAnsi="Arial" w:cs="Arial"/>
          <w:sz w:val="28"/>
          <w:szCs w:val="28"/>
        </w:rPr>
      </w:pPr>
      <w:proofErr w:type="spellStart"/>
      <w:r w:rsidRPr="00901CCA">
        <w:rPr>
          <w:rFonts w:ascii="Arial" w:hAnsi="Arial" w:cs="Arial"/>
          <w:sz w:val="28"/>
          <w:szCs w:val="28"/>
        </w:rPr>
        <w:t>Manthey</w:t>
      </w:r>
      <w:proofErr w:type="spellEnd"/>
      <w:r w:rsidRPr="00901CCA">
        <w:rPr>
          <w:rFonts w:ascii="Arial" w:hAnsi="Arial" w:cs="Arial"/>
          <w:sz w:val="28"/>
          <w:szCs w:val="28"/>
        </w:rPr>
        <w:t xml:space="preserve"> (2013) involved case managers who worked with individuals in supported employment services. Administration of the Motivational Interviewing Knowledge and Attitudes Scales – Vocational Rehabilitation (MIKAT-VR) pre- and post-training indicated that participation in an introductory MI skills training contributed to increased knowledge of MI and an attitude shift toward the use of MI in an employment focused setting.</w:t>
      </w:r>
    </w:p>
    <w:p w14:paraId="7AB01E49" w14:textId="77777777" w:rsidR="00901CCA" w:rsidRPr="00901CCA" w:rsidRDefault="00901CCA" w:rsidP="00901CCA">
      <w:pPr>
        <w:rPr>
          <w:rFonts w:ascii="Arial" w:hAnsi="Arial" w:cs="Arial"/>
          <w:sz w:val="28"/>
          <w:szCs w:val="28"/>
        </w:rPr>
      </w:pPr>
      <w:r w:rsidRPr="00901CCA">
        <w:rPr>
          <w:rFonts w:ascii="Arial" w:hAnsi="Arial" w:cs="Arial"/>
          <w:sz w:val="28"/>
          <w:szCs w:val="28"/>
        </w:rPr>
        <w:lastRenderedPageBreak/>
        <w:t xml:space="preserve">Torres (2017) assessed the effect of a 4-hour standardized MI training and 4 weekly follow-up coaching sessions on consumer engagement and the working alliance with counselors. The pre- and post-training MIKAT-VR showed significant gains in MI competence among the counselors, a significant improvement in consumer engagement and working alliance with the clients. with the counselor among the clients whose counselors were in the experimental group. </w:t>
      </w:r>
    </w:p>
    <w:p w14:paraId="5186C603" w14:textId="44BF689E" w:rsidR="00901CCA" w:rsidRPr="00901CCA" w:rsidRDefault="00901CCA" w:rsidP="00901CCA">
      <w:pPr>
        <w:rPr>
          <w:rFonts w:ascii="Arial" w:hAnsi="Arial" w:cs="Arial"/>
          <w:sz w:val="28"/>
          <w:szCs w:val="28"/>
        </w:rPr>
      </w:pPr>
      <w:r w:rsidRPr="00901CCA">
        <w:rPr>
          <w:rFonts w:ascii="Arial" w:hAnsi="Arial" w:cs="Arial"/>
          <w:b/>
          <w:bCs/>
          <w:sz w:val="28"/>
          <w:szCs w:val="28"/>
        </w:rPr>
        <w:t>Purpose</w:t>
      </w:r>
    </w:p>
    <w:p w14:paraId="3A6745B8" w14:textId="77777777" w:rsidR="00901CCA" w:rsidRPr="00901CCA" w:rsidRDefault="00901CCA" w:rsidP="00901CCA">
      <w:pPr>
        <w:rPr>
          <w:rFonts w:ascii="Arial" w:hAnsi="Arial" w:cs="Arial"/>
          <w:sz w:val="28"/>
          <w:szCs w:val="28"/>
        </w:rPr>
      </w:pPr>
      <w:r w:rsidRPr="00901CCA">
        <w:rPr>
          <w:rFonts w:ascii="Arial" w:hAnsi="Arial" w:cs="Arial"/>
          <w:sz w:val="28"/>
          <w:szCs w:val="28"/>
        </w:rPr>
        <w:t>The purpose of this study was to assess whether a one-day introductory MI training could affect the perception of the participant’s ability to use MI as part of the vocational rehabilitation process.</w:t>
      </w:r>
    </w:p>
    <w:p w14:paraId="075D9623" w14:textId="77777777" w:rsidR="0092591C" w:rsidRPr="00214D46" w:rsidRDefault="0092591C">
      <w:pPr>
        <w:rPr>
          <w:rFonts w:ascii="Arial" w:hAnsi="Arial" w:cs="Arial"/>
          <w:sz w:val="28"/>
          <w:szCs w:val="28"/>
        </w:rPr>
      </w:pPr>
    </w:p>
    <w:p w14:paraId="2C53D914" w14:textId="774C40F7" w:rsidR="00901CCA" w:rsidRPr="0092591C" w:rsidRDefault="00901CCA" w:rsidP="0092591C">
      <w:pPr>
        <w:jc w:val="center"/>
        <w:rPr>
          <w:rFonts w:ascii="Arial" w:hAnsi="Arial" w:cs="Arial"/>
          <w:b/>
          <w:sz w:val="28"/>
          <w:szCs w:val="28"/>
        </w:rPr>
      </w:pPr>
      <w:r w:rsidRPr="0092591C">
        <w:rPr>
          <w:rFonts w:ascii="Arial" w:hAnsi="Arial" w:cs="Arial"/>
          <w:b/>
          <w:sz w:val="28"/>
          <w:szCs w:val="28"/>
        </w:rPr>
        <w:t>Method</w:t>
      </w:r>
    </w:p>
    <w:p w14:paraId="69D3AE2F" w14:textId="77777777" w:rsidR="00901CCA" w:rsidRPr="00901CCA" w:rsidRDefault="00901CCA" w:rsidP="00901CCA">
      <w:pPr>
        <w:rPr>
          <w:rFonts w:ascii="Arial" w:hAnsi="Arial" w:cs="Arial"/>
          <w:sz w:val="28"/>
          <w:szCs w:val="28"/>
        </w:rPr>
      </w:pPr>
      <w:r w:rsidRPr="00901CCA">
        <w:rPr>
          <w:rFonts w:ascii="Arial" w:hAnsi="Arial" w:cs="Arial"/>
          <w:b/>
          <w:bCs/>
          <w:sz w:val="28"/>
          <w:szCs w:val="28"/>
        </w:rPr>
        <w:t>Participants</w:t>
      </w:r>
    </w:p>
    <w:p w14:paraId="78CE3B94" w14:textId="77777777" w:rsidR="00901CCA" w:rsidRPr="00901CCA" w:rsidRDefault="00901CCA" w:rsidP="00901CCA">
      <w:pPr>
        <w:rPr>
          <w:rFonts w:ascii="Arial" w:hAnsi="Arial" w:cs="Arial"/>
          <w:sz w:val="28"/>
          <w:szCs w:val="28"/>
        </w:rPr>
      </w:pPr>
      <w:r w:rsidRPr="00901CCA">
        <w:rPr>
          <w:rFonts w:ascii="Arial" w:hAnsi="Arial" w:cs="Arial"/>
          <w:sz w:val="28"/>
          <w:szCs w:val="28"/>
        </w:rPr>
        <w:t xml:space="preserve">Sixteen vocational rehabilitation staff members from the South Carolina Commission for the Blind (SCCB) participated in a one-day introductory MI workshop. Fourteen of the participants had a </w:t>
      </w:r>
      <w:proofErr w:type="gramStart"/>
      <w:r w:rsidRPr="00901CCA">
        <w:rPr>
          <w:rFonts w:ascii="Arial" w:hAnsi="Arial" w:cs="Arial"/>
          <w:sz w:val="28"/>
          <w:szCs w:val="28"/>
        </w:rPr>
        <w:t>Master’s</w:t>
      </w:r>
      <w:proofErr w:type="gramEnd"/>
      <w:r w:rsidRPr="00901CCA">
        <w:rPr>
          <w:rFonts w:ascii="Arial" w:hAnsi="Arial" w:cs="Arial"/>
          <w:sz w:val="28"/>
          <w:szCs w:val="28"/>
        </w:rPr>
        <w:t xml:space="preserve"> degree in Rehabilitation Counseling, one in Rehabilitation Counseling and Public Administration, and one in Public Administration. Eight of the participants were Certified Rehabilitation Counselors (CRC). Twelve of the 16 reported that they had not participated in MI training prior to the seminar.</w:t>
      </w:r>
    </w:p>
    <w:p w14:paraId="1AD09C4C" w14:textId="446774FD" w:rsidR="00901CCA" w:rsidRPr="00901CCA" w:rsidRDefault="00901CCA" w:rsidP="00901CCA">
      <w:pPr>
        <w:rPr>
          <w:rFonts w:ascii="Arial" w:hAnsi="Arial" w:cs="Arial"/>
          <w:sz w:val="28"/>
          <w:szCs w:val="28"/>
        </w:rPr>
      </w:pPr>
      <w:r w:rsidRPr="00901CCA">
        <w:rPr>
          <w:rFonts w:ascii="Arial" w:hAnsi="Arial" w:cs="Arial"/>
          <w:b/>
          <w:bCs/>
          <w:sz w:val="28"/>
          <w:szCs w:val="28"/>
        </w:rPr>
        <w:t>Procedure</w:t>
      </w:r>
    </w:p>
    <w:p w14:paraId="5008C914" w14:textId="77777777" w:rsidR="00901CCA" w:rsidRPr="00901CCA" w:rsidRDefault="00901CCA" w:rsidP="00901CCA">
      <w:pPr>
        <w:rPr>
          <w:rFonts w:ascii="Arial" w:hAnsi="Arial" w:cs="Arial"/>
          <w:sz w:val="28"/>
          <w:szCs w:val="28"/>
        </w:rPr>
      </w:pPr>
      <w:r w:rsidRPr="00901CCA">
        <w:rPr>
          <w:rFonts w:ascii="Arial" w:hAnsi="Arial" w:cs="Arial"/>
          <w:sz w:val="28"/>
          <w:szCs w:val="28"/>
        </w:rPr>
        <w:t xml:space="preserve">A pre- and post-training survey design was used to assess whether a one-day MI training program could affect how the participants perceived their ability to use MI as part of the vocational rehabilitation process. The survey was administered online through Survey Monkey and consisted of a 46 items assessing the use of MI in the vocational rehabilitation process across five topic areas including: Working Alliance (6), Consumer Engagement (8), Confidence in Using MI and the Underlying Principles (8), Barriers to Using MI (14), and the Effect of the use MI in Vocational Rehabilitation (10). The survey was composed of items developed by the Virginia Commonwealth University, Rehabilitation Research and Training </w:t>
      </w:r>
      <w:r w:rsidRPr="00901CCA">
        <w:rPr>
          <w:rFonts w:ascii="Arial" w:hAnsi="Arial" w:cs="Arial"/>
          <w:sz w:val="28"/>
          <w:szCs w:val="28"/>
        </w:rPr>
        <w:lastRenderedPageBreak/>
        <w:t>Center. Each item was scored based on a five tier Likert scale: (1) Strongly Disagree, (2) Disagree, (3) Neutral, (4) Agree, and (5) Strongly Agree.</w:t>
      </w:r>
    </w:p>
    <w:p w14:paraId="7C16EA51" w14:textId="27E8FCBC" w:rsidR="00901CCA" w:rsidRPr="00901CCA" w:rsidRDefault="00901CCA" w:rsidP="00901CCA">
      <w:pPr>
        <w:rPr>
          <w:rFonts w:ascii="Arial" w:hAnsi="Arial" w:cs="Arial"/>
          <w:sz w:val="28"/>
          <w:szCs w:val="28"/>
        </w:rPr>
      </w:pPr>
      <w:r w:rsidRPr="00901CCA">
        <w:rPr>
          <w:rFonts w:ascii="Arial" w:hAnsi="Arial" w:cs="Arial"/>
          <w:b/>
          <w:bCs/>
          <w:sz w:val="28"/>
          <w:szCs w:val="28"/>
        </w:rPr>
        <w:t>Motivational Interviewing Training</w:t>
      </w:r>
    </w:p>
    <w:p w14:paraId="16280E67" w14:textId="77777777" w:rsidR="00901CCA" w:rsidRPr="00901CCA" w:rsidRDefault="00901CCA" w:rsidP="00901CCA">
      <w:pPr>
        <w:rPr>
          <w:rFonts w:ascii="Arial" w:hAnsi="Arial" w:cs="Arial"/>
          <w:sz w:val="28"/>
          <w:szCs w:val="28"/>
        </w:rPr>
      </w:pPr>
      <w:r w:rsidRPr="00901CCA">
        <w:rPr>
          <w:rFonts w:ascii="Arial" w:hAnsi="Arial" w:cs="Arial"/>
          <w:sz w:val="28"/>
          <w:szCs w:val="28"/>
        </w:rPr>
        <w:t>One-day seminar conducted by Tim Tansey, Ph.D. of the Department of Rehabilitation Psychology and Special Education, University of Wisconsin-Madison.</w:t>
      </w:r>
    </w:p>
    <w:p w14:paraId="19BD4B54" w14:textId="67988B45" w:rsidR="00901CCA" w:rsidRPr="00901CCA" w:rsidRDefault="00901CCA" w:rsidP="00901CCA">
      <w:pPr>
        <w:rPr>
          <w:rFonts w:ascii="Arial" w:hAnsi="Arial" w:cs="Arial"/>
          <w:sz w:val="28"/>
          <w:szCs w:val="28"/>
        </w:rPr>
      </w:pPr>
      <w:r w:rsidRPr="00901CCA">
        <w:rPr>
          <w:rFonts w:ascii="Arial" w:hAnsi="Arial" w:cs="Arial"/>
          <w:b/>
          <w:bCs/>
          <w:sz w:val="28"/>
          <w:szCs w:val="28"/>
        </w:rPr>
        <w:t>Materials</w:t>
      </w:r>
    </w:p>
    <w:p w14:paraId="0DFF9B0D" w14:textId="77777777" w:rsidR="00901CCA" w:rsidRPr="00901CCA" w:rsidRDefault="00901CCA" w:rsidP="00901CCA">
      <w:pPr>
        <w:rPr>
          <w:rFonts w:ascii="Arial" w:hAnsi="Arial" w:cs="Arial"/>
          <w:sz w:val="28"/>
          <w:szCs w:val="28"/>
        </w:rPr>
      </w:pPr>
      <w:r w:rsidRPr="00901CCA">
        <w:rPr>
          <w:rFonts w:ascii="Arial" w:hAnsi="Arial" w:cs="Arial"/>
          <w:sz w:val="28"/>
          <w:szCs w:val="28"/>
        </w:rPr>
        <w:t>Motivational Interviewing for Vocational Counselors</w:t>
      </w:r>
    </w:p>
    <w:p w14:paraId="21EC0AC8" w14:textId="77777777" w:rsidR="00901CCA" w:rsidRPr="00901CCA" w:rsidRDefault="00901CCA" w:rsidP="00901CCA">
      <w:pPr>
        <w:rPr>
          <w:rFonts w:ascii="Arial" w:hAnsi="Arial" w:cs="Arial"/>
          <w:sz w:val="28"/>
          <w:szCs w:val="28"/>
        </w:rPr>
      </w:pPr>
      <w:r w:rsidRPr="00901CCA">
        <w:rPr>
          <w:rFonts w:ascii="Arial" w:hAnsi="Arial" w:cs="Arial"/>
          <w:sz w:val="28"/>
          <w:szCs w:val="28"/>
        </w:rPr>
        <w:t xml:space="preserve">Vocational Rehabilitation Technical Assistance Center for Targeted Communities (TC TAC): Project E3: Educate, Empower, and Employ. </w:t>
      </w:r>
    </w:p>
    <w:p w14:paraId="776651F3" w14:textId="118A01A4" w:rsidR="00901CCA" w:rsidRPr="00901CCA" w:rsidRDefault="00901CCA" w:rsidP="00901CCA">
      <w:pPr>
        <w:rPr>
          <w:rFonts w:ascii="Arial" w:hAnsi="Arial" w:cs="Arial"/>
          <w:b/>
          <w:sz w:val="28"/>
          <w:szCs w:val="28"/>
        </w:rPr>
      </w:pPr>
      <w:r w:rsidRPr="00901CCA">
        <w:rPr>
          <w:rFonts w:ascii="Arial" w:hAnsi="Arial" w:cs="Arial"/>
          <w:b/>
          <w:sz w:val="28"/>
          <w:szCs w:val="28"/>
        </w:rPr>
        <w:t>Curriculum</w:t>
      </w:r>
    </w:p>
    <w:p w14:paraId="2B3D0348" w14:textId="77777777" w:rsidR="0092591C" w:rsidRDefault="00901CCA" w:rsidP="00901CCA">
      <w:pPr>
        <w:rPr>
          <w:rFonts w:ascii="Arial" w:hAnsi="Arial" w:cs="Arial"/>
          <w:sz w:val="28"/>
          <w:szCs w:val="28"/>
        </w:rPr>
      </w:pPr>
      <w:r w:rsidRPr="00901CCA">
        <w:rPr>
          <w:rFonts w:ascii="Arial" w:hAnsi="Arial" w:cs="Arial"/>
          <w:sz w:val="28"/>
          <w:szCs w:val="28"/>
        </w:rPr>
        <w:t xml:space="preserve">1) Motivation to Work; </w:t>
      </w:r>
    </w:p>
    <w:p w14:paraId="2C67E4DC" w14:textId="77777777" w:rsidR="0092591C" w:rsidRDefault="00901CCA" w:rsidP="00901CCA">
      <w:pPr>
        <w:rPr>
          <w:rFonts w:ascii="Arial" w:hAnsi="Arial" w:cs="Arial"/>
          <w:sz w:val="28"/>
          <w:szCs w:val="28"/>
        </w:rPr>
      </w:pPr>
      <w:r w:rsidRPr="00901CCA">
        <w:rPr>
          <w:rFonts w:ascii="Arial" w:hAnsi="Arial" w:cs="Arial"/>
          <w:sz w:val="28"/>
          <w:szCs w:val="28"/>
        </w:rPr>
        <w:t xml:space="preserve">2) Perceived Work Barriers; </w:t>
      </w:r>
    </w:p>
    <w:p w14:paraId="70E107DE" w14:textId="77777777" w:rsidR="0092591C" w:rsidRDefault="00901CCA" w:rsidP="00901CCA">
      <w:pPr>
        <w:rPr>
          <w:rFonts w:ascii="Arial" w:hAnsi="Arial" w:cs="Arial"/>
          <w:sz w:val="28"/>
          <w:szCs w:val="28"/>
        </w:rPr>
      </w:pPr>
      <w:r w:rsidRPr="00901CCA">
        <w:rPr>
          <w:rFonts w:ascii="Arial" w:hAnsi="Arial" w:cs="Arial"/>
          <w:sz w:val="28"/>
          <w:szCs w:val="28"/>
        </w:rPr>
        <w:t xml:space="preserve">3) Career Development; </w:t>
      </w:r>
    </w:p>
    <w:p w14:paraId="53F95B02" w14:textId="77777777" w:rsidR="0092591C" w:rsidRDefault="00901CCA" w:rsidP="00901CCA">
      <w:pPr>
        <w:rPr>
          <w:rFonts w:ascii="Arial" w:hAnsi="Arial" w:cs="Arial"/>
          <w:sz w:val="28"/>
          <w:szCs w:val="28"/>
        </w:rPr>
      </w:pPr>
      <w:r w:rsidRPr="00901CCA">
        <w:rPr>
          <w:rFonts w:ascii="Arial" w:hAnsi="Arial" w:cs="Arial"/>
          <w:sz w:val="28"/>
          <w:szCs w:val="28"/>
        </w:rPr>
        <w:t xml:space="preserve">4) Job Interview and Impression Management; and </w:t>
      </w:r>
    </w:p>
    <w:p w14:paraId="514ACD67" w14:textId="77777777" w:rsidR="0092591C" w:rsidRDefault="00901CCA" w:rsidP="00901CCA">
      <w:pPr>
        <w:rPr>
          <w:rFonts w:ascii="Arial" w:hAnsi="Arial" w:cs="Arial"/>
          <w:sz w:val="28"/>
          <w:szCs w:val="28"/>
        </w:rPr>
      </w:pPr>
      <w:r w:rsidRPr="00901CCA">
        <w:rPr>
          <w:rFonts w:ascii="Arial" w:hAnsi="Arial" w:cs="Arial"/>
          <w:sz w:val="28"/>
          <w:szCs w:val="28"/>
        </w:rPr>
        <w:t xml:space="preserve">5) Job Retention. </w:t>
      </w:r>
    </w:p>
    <w:p w14:paraId="2B62D96E" w14:textId="20254813" w:rsidR="00901CCA" w:rsidRPr="00901CCA" w:rsidRDefault="00901CCA" w:rsidP="00901CCA">
      <w:pPr>
        <w:rPr>
          <w:rFonts w:ascii="Arial" w:hAnsi="Arial" w:cs="Arial"/>
          <w:sz w:val="28"/>
          <w:szCs w:val="28"/>
        </w:rPr>
      </w:pPr>
      <w:r w:rsidRPr="00901CCA">
        <w:rPr>
          <w:rFonts w:ascii="Arial" w:hAnsi="Arial" w:cs="Arial"/>
          <w:sz w:val="28"/>
          <w:szCs w:val="28"/>
        </w:rPr>
        <w:t>The program incorporates a group counseling treatment format and each module consists of structured content, requires about 90 minutes per session, and includes a homework assignment.</w:t>
      </w:r>
    </w:p>
    <w:p w14:paraId="43654475" w14:textId="3DB6D3B7" w:rsidR="00901CCA" w:rsidRDefault="00901CCA">
      <w:pPr>
        <w:rPr>
          <w:rFonts w:ascii="Arial" w:hAnsi="Arial" w:cs="Arial"/>
          <w:sz w:val="28"/>
          <w:szCs w:val="28"/>
        </w:rPr>
      </w:pPr>
    </w:p>
    <w:p w14:paraId="5E7EBC79" w14:textId="051AFA13" w:rsidR="00901CCA" w:rsidRPr="0092591C" w:rsidRDefault="00901CCA" w:rsidP="0092591C">
      <w:pPr>
        <w:jc w:val="center"/>
        <w:rPr>
          <w:rFonts w:ascii="Arial" w:hAnsi="Arial" w:cs="Arial"/>
          <w:b/>
          <w:sz w:val="28"/>
          <w:szCs w:val="28"/>
        </w:rPr>
      </w:pPr>
      <w:r w:rsidRPr="0092591C">
        <w:rPr>
          <w:rFonts w:ascii="Arial" w:hAnsi="Arial" w:cs="Arial"/>
          <w:b/>
          <w:sz w:val="28"/>
          <w:szCs w:val="28"/>
        </w:rPr>
        <w:t>Results</w:t>
      </w:r>
    </w:p>
    <w:p w14:paraId="0E892808" w14:textId="77777777" w:rsidR="00901CCA" w:rsidRPr="00901CCA" w:rsidRDefault="00901CCA" w:rsidP="00901CCA">
      <w:pPr>
        <w:rPr>
          <w:rFonts w:ascii="Arial" w:hAnsi="Arial" w:cs="Arial"/>
          <w:sz w:val="28"/>
          <w:szCs w:val="28"/>
        </w:rPr>
      </w:pPr>
      <w:r w:rsidRPr="00901CCA">
        <w:rPr>
          <w:rFonts w:ascii="Arial" w:hAnsi="Arial" w:cs="Arial"/>
          <w:sz w:val="28"/>
          <w:szCs w:val="28"/>
        </w:rPr>
        <w:t>A paired sample t-test was used to assess whether there were statistically significant differences between the pre- and post-training ratings across the five areas of interest.</w:t>
      </w:r>
    </w:p>
    <w:p w14:paraId="3ED171AE" w14:textId="2C55798F" w:rsidR="00901CCA" w:rsidRPr="00901CCA" w:rsidRDefault="00901CCA" w:rsidP="00901CCA">
      <w:pPr>
        <w:rPr>
          <w:rFonts w:ascii="Arial" w:hAnsi="Arial" w:cs="Arial"/>
          <w:sz w:val="28"/>
          <w:szCs w:val="28"/>
        </w:rPr>
      </w:pPr>
      <w:r w:rsidRPr="00901CCA">
        <w:rPr>
          <w:rFonts w:ascii="Arial" w:hAnsi="Arial" w:cs="Arial"/>
          <w:b/>
          <w:bCs/>
          <w:sz w:val="28"/>
          <w:szCs w:val="28"/>
        </w:rPr>
        <w:t>Confidence in using MI and the Underlying Principles</w:t>
      </w:r>
    </w:p>
    <w:p w14:paraId="0402F196" w14:textId="77777777" w:rsidR="00901CCA" w:rsidRPr="00901CCA" w:rsidRDefault="00901CCA" w:rsidP="00901CCA">
      <w:pPr>
        <w:rPr>
          <w:rFonts w:ascii="Arial" w:hAnsi="Arial" w:cs="Arial"/>
          <w:sz w:val="28"/>
          <w:szCs w:val="28"/>
        </w:rPr>
      </w:pPr>
      <w:r w:rsidRPr="00901CCA">
        <w:rPr>
          <w:rFonts w:ascii="Arial" w:hAnsi="Arial" w:cs="Arial"/>
          <w:sz w:val="28"/>
          <w:szCs w:val="28"/>
        </w:rPr>
        <w:t xml:space="preserve">A statistically significant increase and moderate effect size (t = 3.5668, p &lt; .01; Cohen’s </w:t>
      </w:r>
      <w:r w:rsidRPr="00901CCA">
        <w:rPr>
          <w:rFonts w:ascii="Arial" w:hAnsi="Arial" w:cs="Arial"/>
          <w:i/>
          <w:iCs/>
          <w:sz w:val="28"/>
          <w:szCs w:val="28"/>
        </w:rPr>
        <w:t>d</w:t>
      </w:r>
      <w:r w:rsidRPr="00901CCA">
        <w:rPr>
          <w:rFonts w:ascii="Arial" w:hAnsi="Arial" w:cs="Arial"/>
          <w:sz w:val="28"/>
          <w:szCs w:val="28"/>
        </w:rPr>
        <w:t xml:space="preserve"> = 0.6581) was observed between pre- and post-training. The factors that contributed to the result were the counselor’s confidence in using MI to help consumers resolve ambivalence about change in favor of </w:t>
      </w:r>
      <w:r w:rsidRPr="00901CCA">
        <w:rPr>
          <w:rFonts w:ascii="Arial" w:hAnsi="Arial" w:cs="Arial"/>
          <w:sz w:val="28"/>
          <w:szCs w:val="28"/>
        </w:rPr>
        <w:lastRenderedPageBreak/>
        <w:t>change, ability to build rapport, manage resistance, and listen to the client instead of giving advice.</w:t>
      </w:r>
    </w:p>
    <w:p w14:paraId="7FFAC501" w14:textId="3AAE84AE" w:rsidR="00901CCA" w:rsidRPr="00901CCA" w:rsidRDefault="00901CCA" w:rsidP="00901CCA">
      <w:pPr>
        <w:rPr>
          <w:rFonts w:ascii="Arial" w:hAnsi="Arial" w:cs="Arial"/>
          <w:sz w:val="28"/>
          <w:szCs w:val="28"/>
        </w:rPr>
      </w:pPr>
      <w:r w:rsidRPr="00901CCA">
        <w:rPr>
          <w:rFonts w:ascii="Arial" w:hAnsi="Arial" w:cs="Arial"/>
          <w:b/>
          <w:bCs/>
          <w:sz w:val="28"/>
          <w:szCs w:val="28"/>
        </w:rPr>
        <w:t>Barriers to using MI</w:t>
      </w:r>
    </w:p>
    <w:p w14:paraId="76F852FC" w14:textId="7555CA98" w:rsidR="00901CCA" w:rsidRDefault="00901CCA" w:rsidP="00901CCA">
      <w:pPr>
        <w:rPr>
          <w:rFonts w:ascii="Arial" w:hAnsi="Arial" w:cs="Arial"/>
          <w:sz w:val="28"/>
          <w:szCs w:val="28"/>
        </w:rPr>
      </w:pPr>
      <w:r w:rsidRPr="00214D46">
        <w:rPr>
          <w:rFonts w:ascii="Arial" w:hAnsi="Arial" w:cs="Arial"/>
          <w:sz w:val="28"/>
          <w:szCs w:val="28"/>
        </w:rPr>
        <w:t xml:space="preserve">A statistically significant reduction and moderate effect size (t = 2.1882, p &lt; .05; Cohen’s </w:t>
      </w:r>
      <w:r w:rsidRPr="00214D46">
        <w:rPr>
          <w:rFonts w:ascii="Arial" w:hAnsi="Arial" w:cs="Arial"/>
          <w:i/>
          <w:iCs/>
          <w:sz w:val="28"/>
          <w:szCs w:val="28"/>
        </w:rPr>
        <w:t>d</w:t>
      </w:r>
      <w:r w:rsidRPr="00214D46">
        <w:rPr>
          <w:rFonts w:ascii="Arial" w:hAnsi="Arial" w:cs="Arial"/>
          <w:sz w:val="28"/>
          <w:szCs w:val="28"/>
        </w:rPr>
        <w:t xml:space="preserve"> = 0.6571) was observed between pre- and post-training. The factors that contributed to the result were collective support for using MI among coworkers, evidence that supports the use of MI in vocational rehabilitation, current use of MI to help clients deal with motivation to work issues, and proficiency in the use of MI to help consumers deal with psychosocial and vocational rehabilitation issues</w:t>
      </w:r>
      <w:r w:rsidR="00214D46">
        <w:rPr>
          <w:rFonts w:ascii="Arial" w:hAnsi="Arial" w:cs="Arial"/>
          <w:sz w:val="28"/>
          <w:szCs w:val="28"/>
        </w:rPr>
        <w:t>.</w:t>
      </w:r>
    </w:p>
    <w:tbl>
      <w:tblPr>
        <w:tblStyle w:val="TableGrid"/>
        <w:tblW w:w="0" w:type="auto"/>
        <w:tblLook w:val="04A0" w:firstRow="1" w:lastRow="0" w:firstColumn="1" w:lastColumn="0" w:noHBand="0" w:noVBand="1"/>
      </w:tblPr>
      <w:tblGrid>
        <w:gridCol w:w="3235"/>
        <w:gridCol w:w="1440"/>
        <w:gridCol w:w="1710"/>
        <w:gridCol w:w="1350"/>
        <w:gridCol w:w="1615"/>
      </w:tblGrid>
      <w:tr w:rsidR="00214D46" w:rsidRPr="00214D46" w14:paraId="659883BB" w14:textId="77777777" w:rsidTr="00214D46">
        <w:tc>
          <w:tcPr>
            <w:tcW w:w="3235" w:type="dxa"/>
          </w:tcPr>
          <w:p w14:paraId="75DA0024"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Area of Interest</w:t>
            </w:r>
          </w:p>
        </w:tc>
        <w:tc>
          <w:tcPr>
            <w:tcW w:w="3150" w:type="dxa"/>
            <w:gridSpan w:val="2"/>
          </w:tcPr>
          <w:p w14:paraId="47446043"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Pre-Training</w:t>
            </w:r>
          </w:p>
        </w:tc>
        <w:tc>
          <w:tcPr>
            <w:tcW w:w="2965" w:type="dxa"/>
            <w:gridSpan w:val="2"/>
          </w:tcPr>
          <w:p w14:paraId="252DB57F"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Post Training</w:t>
            </w:r>
          </w:p>
        </w:tc>
      </w:tr>
      <w:tr w:rsidR="00214D46" w:rsidRPr="00214D46" w14:paraId="033B1254" w14:textId="77777777" w:rsidTr="00214D46">
        <w:tc>
          <w:tcPr>
            <w:tcW w:w="3235" w:type="dxa"/>
          </w:tcPr>
          <w:p w14:paraId="2702786C" w14:textId="77777777" w:rsidR="00214D46" w:rsidRPr="00214D46" w:rsidRDefault="00214D46" w:rsidP="00FA7C08">
            <w:pPr>
              <w:jc w:val="center"/>
              <w:rPr>
                <w:rFonts w:ascii="Arial" w:hAnsi="Arial" w:cs="Arial"/>
                <w:sz w:val="28"/>
                <w:szCs w:val="28"/>
              </w:rPr>
            </w:pPr>
          </w:p>
        </w:tc>
        <w:tc>
          <w:tcPr>
            <w:tcW w:w="1440" w:type="dxa"/>
          </w:tcPr>
          <w:p w14:paraId="24D298C2"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Mean</w:t>
            </w:r>
          </w:p>
        </w:tc>
        <w:tc>
          <w:tcPr>
            <w:tcW w:w="1710" w:type="dxa"/>
          </w:tcPr>
          <w:p w14:paraId="3E3B15EE"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SD</w:t>
            </w:r>
          </w:p>
        </w:tc>
        <w:tc>
          <w:tcPr>
            <w:tcW w:w="1350" w:type="dxa"/>
          </w:tcPr>
          <w:p w14:paraId="7BC521ED"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Mean</w:t>
            </w:r>
          </w:p>
        </w:tc>
        <w:tc>
          <w:tcPr>
            <w:tcW w:w="1615" w:type="dxa"/>
          </w:tcPr>
          <w:p w14:paraId="54B37277"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SD</w:t>
            </w:r>
          </w:p>
        </w:tc>
      </w:tr>
      <w:tr w:rsidR="00214D46" w:rsidRPr="00214D46" w14:paraId="14C5C99F" w14:textId="77777777" w:rsidTr="00214D46">
        <w:tc>
          <w:tcPr>
            <w:tcW w:w="3235" w:type="dxa"/>
          </w:tcPr>
          <w:p w14:paraId="0C3AE4DB" w14:textId="5B210FB9" w:rsidR="00214D46" w:rsidRPr="00214D46" w:rsidRDefault="00214D46" w:rsidP="00FA7C08">
            <w:pPr>
              <w:jc w:val="center"/>
              <w:rPr>
                <w:rFonts w:ascii="Arial" w:hAnsi="Arial" w:cs="Arial"/>
                <w:sz w:val="28"/>
                <w:szCs w:val="28"/>
              </w:rPr>
            </w:pPr>
            <w:r w:rsidRPr="00214D46">
              <w:rPr>
                <w:rFonts w:ascii="Arial" w:hAnsi="Arial" w:cs="Arial"/>
                <w:sz w:val="28"/>
                <w:szCs w:val="28"/>
              </w:rPr>
              <w:t>Confidence to use MI</w:t>
            </w:r>
          </w:p>
        </w:tc>
        <w:tc>
          <w:tcPr>
            <w:tcW w:w="1440" w:type="dxa"/>
          </w:tcPr>
          <w:p w14:paraId="4A6A4BD9" w14:textId="75EDCDF0" w:rsidR="00214D46" w:rsidRPr="00214D46" w:rsidRDefault="00214D46" w:rsidP="00FA7C08">
            <w:pPr>
              <w:jc w:val="center"/>
              <w:rPr>
                <w:rFonts w:ascii="Arial" w:hAnsi="Arial" w:cs="Arial"/>
                <w:sz w:val="28"/>
                <w:szCs w:val="28"/>
              </w:rPr>
            </w:pPr>
            <w:r w:rsidRPr="00214D46">
              <w:rPr>
                <w:rFonts w:ascii="Arial" w:hAnsi="Arial" w:cs="Arial"/>
                <w:sz w:val="28"/>
                <w:szCs w:val="28"/>
              </w:rPr>
              <w:t>3.84</w:t>
            </w:r>
          </w:p>
        </w:tc>
        <w:tc>
          <w:tcPr>
            <w:tcW w:w="1710" w:type="dxa"/>
          </w:tcPr>
          <w:p w14:paraId="6AECADB2" w14:textId="0D65DBCE" w:rsidR="00214D46" w:rsidRPr="00214D46" w:rsidRDefault="00214D46" w:rsidP="00FA7C08">
            <w:pPr>
              <w:jc w:val="center"/>
              <w:rPr>
                <w:rFonts w:ascii="Arial" w:hAnsi="Arial" w:cs="Arial"/>
                <w:sz w:val="28"/>
                <w:szCs w:val="28"/>
              </w:rPr>
            </w:pPr>
            <w:r w:rsidRPr="00214D46">
              <w:rPr>
                <w:rFonts w:ascii="Arial" w:hAnsi="Arial" w:cs="Arial"/>
                <w:sz w:val="28"/>
                <w:szCs w:val="28"/>
              </w:rPr>
              <w:t>0.4715</w:t>
            </w:r>
          </w:p>
        </w:tc>
        <w:tc>
          <w:tcPr>
            <w:tcW w:w="1350" w:type="dxa"/>
          </w:tcPr>
          <w:p w14:paraId="14D06979" w14:textId="3922E25C" w:rsidR="00214D46" w:rsidRPr="00214D46" w:rsidRDefault="00214D46" w:rsidP="00FA7C08">
            <w:pPr>
              <w:jc w:val="center"/>
              <w:rPr>
                <w:rFonts w:ascii="Arial" w:hAnsi="Arial" w:cs="Arial"/>
                <w:sz w:val="28"/>
                <w:szCs w:val="28"/>
              </w:rPr>
            </w:pPr>
            <w:r w:rsidRPr="00214D46">
              <w:rPr>
                <w:rFonts w:ascii="Arial" w:hAnsi="Arial" w:cs="Arial"/>
                <w:sz w:val="28"/>
                <w:szCs w:val="28"/>
              </w:rPr>
              <w:t>4.11</w:t>
            </w:r>
          </w:p>
        </w:tc>
        <w:tc>
          <w:tcPr>
            <w:tcW w:w="1615" w:type="dxa"/>
          </w:tcPr>
          <w:p w14:paraId="1A6AF856" w14:textId="649179A8" w:rsidR="00214D46" w:rsidRPr="00214D46" w:rsidRDefault="00214D46" w:rsidP="00FA7C08">
            <w:pPr>
              <w:jc w:val="center"/>
              <w:rPr>
                <w:rFonts w:ascii="Arial" w:hAnsi="Arial" w:cs="Arial"/>
                <w:sz w:val="28"/>
                <w:szCs w:val="28"/>
              </w:rPr>
            </w:pPr>
            <w:r w:rsidRPr="00214D46">
              <w:rPr>
                <w:rFonts w:ascii="Arial" w:hAnsi="Arial" w:cs="Arial"/>
                <w:sz w:val="28"/>
                <w:szCs w:val="28"/>
              </w:rPr>
              <w:t>0.3881</w:t>
            </w:r>
          </w:p>
        </w:tc>
      </w:tr>
      <w:tr w:rsidR="00214D46" w:rsidRPr="00214D46" w14:paraId="0F3BEBF9" w14:textId="77777777" w:rsidTr="00214D46">
        <w:tc>
          <w:tcPr>
            <w:tcW w:w="3235" w:type="dxa"/>
          </w:tcPr>
          <w:p w14:paraId="02D48C17" w14:textId="7140ACCF" w:rsidR="00214D46" w:rsidRPr="00214D46" w:rsidRDefault="00214D46" w:rsidP="00FA7C08">
            <w:pPr>
              <w:jc w:val="center"/>
              <w:rPr>
                <w:rFonts w:ascii="Arial" w:hAnsi="Arial" w:cs="Arial"/>
                <w:sz w:val="28"/>
                <w:szCs w:val="28"/>
              </w:rPr>
            </w:pPr>
            <w:r w:rsidRPr="00214D46">
              <w:rPr>
                <w:rFonts w:ascii="Arial" w:hAnsi="Arial" w:cs="Arial"/>
                <w:sz w:val="28"/>
                <w:szCs w:val="28"/>
              </w:rPr>
              <w:t>Barriers to use of MI</w:t>
            </w:r>
          </w:p>
        </w:tc>
        <w:tc>
          <w:tcPr>
            <w:tcW w:w="1440" w:type="dxa"/>
          </w:tcPr>
          <w:p w14:paraId="2F0F1218" w14:textId="58ED3A19" w:rsidR="00214D46" w:rsidRPr="00214D46" w:rsidRDefault="00214D46" w:rsidP="00FA7C08">
            <w:pPr>
              <w:jc w:val="center"/>
              <w:rPr>
                <w:rFonts w:ascii="Arial" w:hAnsi="Arial" w:cs="Arial"/>
                <w:sz w:val="28"/>
                <w:szCs w:val="28"/>
              </w:rPr>
            </w:pPr>
            <w:r w:rsidRPr="00214D46">
              <w:rPr>
                <w:rFonts w:ascii="Arial" w:hAnsi="Arial" w:cs="Arial"/>
                <w:sz w:val="28"/>
                <w:szCs w:val="28"/>
              </w:rPr>
              <w:t>3.26</w:t>
            </w:r>
          </w:p>
        </w:tc>
        <w:tc>
          <w:tcPr>
            <w:tcW w:w="1710" w:type="dxa"/>
          </w:tcPr>
          <w:p w14:paraId="7035DDFD" w14:textId="4494FE45" w:rsidR="00214D46" w:rsidRPr="00214D46" w:rsidRDefault="00214D46" w:rsidP="00FA7C08">
            <w:pPr>
              <w:jc w:val="center"/>
              <w:rPr>
                <w:rFonts w:ascii="Arial" w:hAnsi="Arial" w:cs="Arial"/>
                <w:sz w:val="28"/>
                <w:szCs w:val="28"/>
              </w:rPr>
            </w:pPr>
            <w:r w:rsidRPr="00214D46">
              <w:rPr>
                <w:rFonts w:ascii="Arial" w:hAnsi="Arial" w:cs="Arial"/>
                <w:sz w:val="28"/>
                <w:szCs w:val="28"/>
              </w:rPr>
              <w:t>0.2459</w:t>
            </w:r>
          </w:p>
        </w:tc>
        <w:tc>
          <w:tcPr>
            <w:tcW w:w="1350" w:type="dxa"/>
          </w:tcPr>
          <w:p w14:paraId="5D921763" w14:textId="18EA681B" w:rsidR="00214D46" w:rsidRPr="00214D46" w:rsidRDefault="00214D46" w:rsidP="00FA7C08">
            <w:pPr>
              <w:jc w:val="center"/>
              <w:rPr>
                <w:rFonts w:ascii="Arial" w:hAnsi="Arial" w:cs="Arial"/>
                <w:sz w:val="28"/>
                <w:szCs w:val="28"/>
              </w:rPr>
            </w:pPr>
            <w:r w:rsidRPr="00214D46">
              <w:rPr>
                <w:rFonts w:ascii="Arial" w:hAnsi="Arial" w:cs="Arial"/>
                <w:sz w:val="28"/>
                <w:szCs w:val="28"/>
              </w:rPr>
              <w:t>3.42</w:t>
            </w:r>
          </w:p>
        </w:tc>
        <w:tc>
          <w:tcPr>
            <w:tcW w:w="1615" w:type="dxa"/>
          </w:tcPr>
          <w:p w14:paraId="48982122" w14:textId="38B996F3" w:rsidR="00214D46" w:rsidRPr="00214D46" w:rsidRDefault="00214D46" w:rsidP="00FA7C08">
            <w:pPr>
              <w:jc w:val="center"/>
              <w:rPr>
                <w:rFonts w:ascii="Arial" w:hAnsi="Arial" w:cs="Arial"/>
                <w:sz w:val="28"/>
                <w:szCs w:val="28"/>
              </w:rPr>
            </w:pPr>
            <w:r w:rsidRPr="00214D46">
              <w:rPr>
                <w:rFonts w:ascii="Arial" w:hAnsi="Arial" w:cs="Arial"/>
                <w:sz w:val="28"/>
                <w:szCs w:val="28"/>
              </w:rPr>
              <w:t>0.2412</w:t>
            </w:r>
          </w:p>
        </w:tc>
      </w:tr>
    </w:tbl>
    <w:p w14:paraId="4D07CC8E" w14:textId="77777777" w:rsidR="00214D46" w:rsidRDefault="00214D46" w:rsidP="00901CCA">
      <w:pPr>
        <w:rPr>
          <w:rFonts w:ascii="Arial" w:hAnsi="Arial" w:cs="Arial"/>
          <w:sz w:val="28"/>
          <w:szCs w:val="28"/>
        </w:rPr>
      </w:pPr>
    </w:p>
    <w:p w14:paraId="4BE0629B" w14:textId="3F3F496A" w:rsidR="00901CCA" w:rsidRDefault="00901CCA" w:rsidP="00901CCA">
      <w:pPr>
        <w:rPr>
          <w:rFonts w:ascii="Arial" w:hAnsi="Arial" w:cs="Arial"/>
          <w:sz w:val="28"/>
          <w:szCs w:val="28"/>
        </w:rPr>
      </w:pPr>
      <w:r w:rsidRPr="00901CCA">
        <w:rPr>
          <w:rFonts w:ascii="Arial" w:hAnsi="Arial" w:cs="Arial"/>
          <w:sz w:val="28"/>
          <w:szCs w:val="28"/>
        </w:rPr>
        <w:t>Three of the five areas of interest did not show an effect related to the MI training. The pre- and post-training ratings for Working Alliance, Consumer Engagement, and the Use of MI in VR clustered around “Agree.” The only factor among these areas of interest that showed a moderate effect size (Cohen’s</w:t>
      </w:r>
      <w:r w:rsidRPr="00901CCA">
        <w:rPr>
          <w:rFonts w:ascii="Arial" w:hAnsi="Arial" w:cs="Arial"/>
          <w:i/>
          <w:iCs/>
          <w:sz w:val="28"/>
          <w:szCs w:val="28"/>
        </w:rPr>
        <w:t xml:space="preserve"> d </w:t>
      </w:r>
      <w:r w:rsidRPr="00901CCA">
        <w:rPr>
          <w:rFonts w:ascii="Arial" w:hAnsi="Arial" w:cs="Arial"/>
          <w:sz w:val="28"/>
          <w:szCs w:val="28"/>
        </w:rPr>
        <w:t>= 0.6027) was observed in the Use of MI in VR and addressed the potential for the use of MI to improve the consumer’s involvement in the vocational rehabilitation process.</w:t>
      </w:r>
    </w:p>
    <w:tbl>
      <w:tblPr>
        <w:tblStyle w:val="TableGrid"/>
        <w:tblW w:w="0" w:type="auto"/>
        <w:tblLook w:val="04A0" w:firstRow="1" w:lastRow="0" w:firstColumn="1" w:lastColumn="0" w:noHBand="0" w:noVBand="1"/>
      </w:tblPr>
      <w:tblGrid>
        <w:gridCol w:w="3235"/>
        <w:gridCol w:w="1440"/>
        <w:gridCol w:w="1710"/>
        <w:gridCol w:w="1350"/>
        <w:gridCol w:w="1615"/>
      </w:tblGrid>
      <w:tr w:rsidR="00214D46" w:rsidRPr="00214D46" w14:paraId="52492096" w14:textId="77777777" w:rsidTr="00214D46">
        <w:tc>
          <w:tcPr>
            <w:tcW w:w="3235" w:type="dxa"/>
          </w:tcPr>
          <w:p w14:paraId="79B64939"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Area of Interest</w:t>
            </w:r>
          </w:p>
        </w:tc>
        <w:tc>
          <w:tcPr>
            <w:tcW w:w="3150" w:type="dxa"/>
            <w:gridSpan w:val="2"/>
          </w:tcPr>
          <w:p w14:paraId="61240711"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Pre-Training</w:t>
            </w:r>
          </w:p>
        </w:tc>
        <w:tc>
          <w:tcPr>
            <w:tcW w:w="2965" w:type="dxa"/>
            <w:gridSpan w:val="2"/>
          </w:tcPr>
          <w:p w14:paraId="3E2FFEA7" w14:textId="77777777" w:rsidR="00214D46" w:rsidRPr="00214D46" w:rsidRDefault="00214D46" w:rsidP="00FA7C08">
            <w:pPr>
              <w:jc w:val="center"/>
              <w:rPr>
                <w:rFonts w:ascii="Arial" w:hAnsi="Arial" w:cs="Arial"/>
                <w:b/>
                <w:sz w:val="28"/>
                <w:szCs w:val="28"/>
              </w:rPr>
            </w:pPr>
            <w:r w:rsidRPr="00214D46">
              <w:rPr>
                <w:rFonts w:ascii="Arial" w:hAnsi="Arial" w:cs="Arial"/>
                <w:b/>
                <w:sz w:val="28"/>
                <w:szCs w:val="28"/>
              </w:rPr>
              <w:t>Post Training</w:t>
            </w:r>
          </w:p>
        </w:tc>
      </w:tr>
      <w:tr w:rsidR="00214D46" w:rsidRPr="00214D46" w14:paraId="42641ED0" w14:textId="77777777" w:rsidTr="00214D46">
        <w:tc>
          <w:tcPr>
            <w:tcW w:w="3235" w:type="dxa"/>
          </w:tcPr>
          <w:p w14:paraId="5A74051D" w14:textId="77777777" w:rsidR="00214D46" w:rsidRPr="00214D46" w:rsidRDefault="00214D46" w:rsidP="00FA7C08">
            <w:pPr>
              <w:jc w:val="center"/>
              <w:rPr>
                <w:rFonts w:ascii="Arial" w:hAnsi="Arial" w:cs="Arial"/>
                <w:sz w:val="28"/>
                <w:szCs w:val="28"/>
              </w:rPr>
            </w:pPr>
          </w:p>
        </w:tc>
        <w:tc>
          <w:tcPr>
            <w:tcW w:w="1440" w:type="dxa"/>
          </w:tcPr>
          <w:p w14:paraId="2FF51595"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Mean</w:t>
            </w:r>
          </w:p>
        </w:tc>
        <w:tc>
          <w:tcPr>
            <w:tcW w:w="1710" w:type="dxa"/>
          </w:tcPr>
          <w:p w14:paraId="6849CC1E"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SD</w:t>
            </w:r>
          </w:p>
        </w:tc>
        <w:tc>
          <w:tcPr>
            <w:tcW w:w="1350" w:type="dxa"/>
          </w:tcPr>
          <w:p w14:paraId="722896AD"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Mean</w:t>
            </w:r>
          </w:p>
        </w:tc>
        <w:tc>
          <w:tcPr>
            <w:tcW w:w="1615" w:type="dxa"/>
          </w:tcPr>
          <w:p w14:paraId="1A296DC0"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SD</w:t>
            </w:r>
          </w:p>
        </w:tc>
      </w:tr>
      <w:tr w:rsidR="00214D46" w:rsidRPr="00214D46" w14:paraId="6C2809DB" w14:textId="77777777" w:rsidTr="00214D46">
        <w:tc>
          <w:tcPr>
            <w:tcW w:w="3235" w:type="dxa"/>
          </w:tcPr>
          <w:p w14:paraId="15FEF705"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Working Alliance</w:t>
            </w:r>
          </w:p>
        </w:tc>
        <w:tc>
          <w:tcPr>
            <w:tcW w:w="1440" w:type="dxa"/>
          </w:tcPr>
          <w:p w14:paraId="71572C0B"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4.15</w:t>
            </w:r>
          </w:p>
        </w:tc>
        <w:tc>
          <w:tcPr>
            <w:tcW w:w="1710" w:type="dxa"/>
          </w:tcPr>
          <w:p w14:paraId="384188CC"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0.54049</w:t>
            </w:r>
          </w:p>
        </w:tc>
        <w:tc>
          <w:tcPr>
            <w:tcW w:w="1350" w:type="dxa"/>
          </w:tcPr>
          <w:p w14:paraId="4529DC0A"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4.01</w:t>
            </w:r>
          </w:p>
        </w:tc>
        <w:tc>
          <w:tcPr>
            <w:tcW w:w="1615" w:type="dxa"/>
          </w:tcPr>
          <w:p w14:paraId="71EB54FB" w14:textId="77777777" w:rsidR="00214D46" w:rsidRPr="00214D46" w:rsidRDefault="00214D46" w:rsidP="00FA7C08">
            <w:pPr>
              <w:jc w:val="center"/>
              <w:rPr>
                <w:rFonts w:ascii="Arial" w:hAnsi="Arial" w:cs="Arial"/>
                <w:sz w:val="28"/>
                <w:szCs w:val="28"/>
              </w:rPr>
            </w:pPr>
            <w:r w:rsidRPr="00214D46">
              <w:rPr>
                <w:rFonts w:ascii="Arial" w:hAnsi="Arial" w:cs="Arial"/>
                <w:sz w:val="28"/>
                <w:szCs w:val="28"/>
              </w:rPr>
              <w:t>0.268527</w:t>
            </w:r>
          </w:p>
        </w:tc>
      </w:tr>
      <w:tr w:rsidR="00214D46" w:rsidRPr="00214D46" w14:paraId="6AE124B0" w14:textId="77777777" w:rsidTr="00214D46">
        <w:tc>
          <w:tcPr>
            <w:tcW w:w="3235" w:type="dxa"/>
          </w:tcPr>
          <w:p w14:paraId="570F0D52" w14:textId="65DDE8FE" w:rsidR="00214D46" w:rsidRPr="00214D46" w:rsidRDefault="00214D46" w:rsidP="00FA7C08">
            <w:pPr>
              <w:jc w:val="center"/>
              <w:rPr>
                <w:rFonts w:ascii="Arial" w:hAnsi="Arial" w:cs="Arial"/>
                <w:sz w:val="28"/>
                <w:szCs w:val="28"/>
              </w:rPr>
            </w:pPr>
            <w:r w:rsidRPr="00214D46">
              <w:rPr>
                <w:rFonts w:ascii="Arial" w:hAnsi="Arial" w:cs="Arial"/>
                <w:sz w:val="28"/>
                <w:szCs w:val="28"/>
              </w:rPr>
              <w:t>Consumer Engagement</w:t>
            </w:r>
          </w:p>
        </w:tc>
        <w:tc>
          <w:tcPr>
            <w:tcW w:w="1440" w:type="dxa"/>
          </w:tcPr>
          <w:p w14:paraId="777ED8E1" w14:textId="4BE8257D" w:rsidR="00214D46" w:rsidRPr="00214D46" w:rsidRDefault="00214D46" w:rsidP="00FA7C08">
            <w:pPr>
              <w:jc w:val="center"/>
              <w:rPr>
                <w:rFonts w:ascii="Arial" w:hAnsi="Arial" w:cs="Arial"/>
                <w:sz w:val="28"/>
                <w:szCs w:val="28"/>
              </w:rPr>
            </w:pPr>
            <w:r w:rsidRPr="00214D46">
              <w:rPr>
                <w:rFonts w:ascii="Arial" w:hAnsi="Arial" w:cs="Arial"/>
                <w:sz w:val="28"/>
                <w:szCs w:val="28"/>
              </w:rPr>
              <w:t>3.93</w:t>
            </w:r>
          </w:p>
        </w:tc>
        <w:tc>
          <w:tcPr>
            <w:tcW w:w="1710" w:type="dxa"/>
          </w:tcPr>
          <w:p w14:paraId="585324A0" w14:textId="45F6E144" w:rsidR="00214D46" w:rsidRPr="00214D46" w:rsidRDefault="00214D46" w:rsidP="00FA7C08">
            <w:pPr>
              <w:jc w:val="center"/>
              <w:rPr>
                <w:rFonts w:ascii="Arial" w:hAnsi="Arial" w:cs="Arial"/>
                <w:sz w:val="28"/>
                <w:szCs w:val="28"/>
              </w:rPr>
            </w:pPr>
            <w:r w:rsidRPr="00214D46">
              <w:rPr>
                <w:rFonts w:ascii="Arial" w:hAnsi="Arial" w:cs="Arial"/>
                <w:sz w:val="28"/>
                <w:szCs w:val="28"/>
              </w:rPr>
              <w:t>0.472072</w:t>
            </w:r>
          </w:p>
        </w:tc>
        <w:tc>
          <w:tcPr>
            <w:tcW w:w="1350" w:type="dxa"/>
          </w:tcPr>
          <w:p w14:paraId="08B0F5C1" w14:textId="2DFC0172" w:rsidR="00214D46" w:rsidRPr="00214D46" w:rsidRDefault="00214D46" w:rsidP="00FA7C08">
            <w:pPr>
              <w:jc w:val="center"/>
              <w:rPr>
                <w:rFonts w:ascii="Arial" w:hAnsi="Arial" w:cs="Arial"/>
                <w:sz w:val="28"/>
                <w:szCs w:val="28"/>
              </w:rPr>
            </w:pPr>
            <w:r w:rsidRPr="00214D46">
              <w:rPr>
                <w:rFonts w:ascii="Arial" w:hAnsi="Arial" w:cs="Arial"/>
                <w:sz w:val="28"/>
                <w:szCs w:val="28"/>
              </w:rPr>
              <w:t>3.90</w:t>
            </w:r>
          </w:p>
        </w:tc>
        <w:tc>
          <w:tcPr>
            <w:tcW w:w="1615" w:type="dxa"/>
          </w:tcPr>
          <w:p w14:paraId="07D0A89C" w14:textId="123B2867" w:rsidR="00214D46" w:rsidRPr="00214D46" w:rsidRDefault="00214D46" w:rsidP="00FA7C08">
            <w:pPr>
              <w:jc w:val="center"/>
              <w:rPr>
                <w:rFonts w:ascii="Arial" w:hAnsi="Arial" w:cs="Arial"/>
                <w:sz w:val="28"/>
                <w:szCs w:val="28"/>
              </w:rPr>
            </w:pPr>
            <w:r w:rsidRPr="00214D46">
              <w:rPr>
                <w:rFonts w:ascii="Arial" w:hAnsi="Arial" w:cs="Arial"/>
                <w:sz w:val="28"/>
                <w:szCs w:val="28"/>
              </w:rPr>
              <w:t>0.326658</w:t>
            </w:r>
          </w:p>
        </w:tc>
      </w:tr>
      <w:tr w:rsidR="00214D46" w:rsidRPr="00214D46" w14:paraId="39A93991" w14:textId="77777777" w:rsidTr="00214D46">
        <w:tc>
          <w:tcPr>
            <w:tcW w:w="3235" w:type="dxa"/>
          </w:tcPr>
          <w:p w14:paraId="5A4960BB" w14:textId="5775CE5B" w:rsidR="00214D46" w:rsidRPr="00214D46" w:rsidRDefault="00214D46" w:rsidP="00FA7C08">
            <w:pPr>
              <w:jc w:val="center"/>
              <w:rPr>
                <w:rFonts w:ascii="Arial" w:hAnsi="Arial" w:cs="Arial"/>
                <w:sz w:val="28"/>
                <w:szCs w:val="28"/>
              </w:rPr>
            </w:pPr>
            <w:r w:rsidRPr="00214D46">
              <w:rPr>
                <w:rFonts w:ascii="Arial" w:hAnsi="Arial" w:cs="Arial"/>
                <w:sz w:val="28"/>
                <w:szCs w:val="28"/>
              </w:rPr>
              <w:t>Use of MI in VR</w:t>
            </w:r>
          </w:p>
        </w:tc>
        <w:tc>
          <w:tcPr>
            <w:tcW w:w="1440" w:type="dxa"/>
          </w:tcPr>
          <w:p w14:paraId="4C10DC3F" w14:textId="76163B8C" w:rsidR="00214D46" w:rsidRPr="00214D46" w:rsidRDefault="00214D46" w:rsidP="00FA7C08">
            <w:pPr>
              <w:jc w:val="center"/>
              <w:rPr>
                <w:rFonts w:ascii="Arial" w:hAnsi="Arial" w:cs="Arial"/>
                <w:sz w:val="28"/>
                <w:szCs w:val="28"/>
              </w:rPr>
            </w:pPr>
            <w:r w:rsidRPr="00214D46">
              <w:rPr>
                <w:rFonts w:ascii="Arial" w:hAnsi="Arial" w:cs="Arial"/>
                <w:sz w:val="28"/>
                <w:szCs w:val="28"/>
              </w:rPr>
              <w:t>3.89</w:t>
            </w:r>
          </w:p>
        </w:tc>
        <w:tc>
          <w:tcPr>
            <w:tcW w:w="1710" w:type="dxa"/>
          </w:tcPr>
          <w:p w14:paraId="3DDE2F75" w14:textId="5A009705" w:rsidR="00214D46" w:rsidRPr="00214D46" w:rsidRDefault="00214D46" w:rsidP="00FA7C08">
            <w:pPr>
              <w:jc w:val="center"/>
              <w:rPr>
                <w:rFonts w:ascii="Arial" w:hAnsi="Arial" w:cs="Arial"/>
                <w:sz w:val="28"/>
                <w:szCs w:val="28"/>
              </w:rPr>
            </w:pPr>
            <w:r w:rsidRPr="00214D46">
              <w:rPr>
                <w:rFonts w:ascii="Arial" w:hAnsi="Arial" w:cs="Arial"/>
                <w:sz w:val="28"/>
                <w:szCs w:val="28"/>
              </w:rPr>
              <w:t>0.458212</w:t>
            </w:r>
          </w:p>
        </w:tc>
        <w:tc>
          <w:tcPr>
            <w:tcW w:w="1350" w:type="dxa"/>
          </w:tcPr>
          <w:p w14:paraId="0FCF7BCA" w14:textId="695847BF" w:rsidR="00214D46" w:rsidRPr="00214D46" w:rsidRDefault="00214D46" w:rsidP="00FA7C08">
            <w:pPr>
              <w:jc w:val="center"/>
              <w:rPr>
                <w:rFonts w:ascii="Arial" w:hAnsi="Arial" w:cs="Arial"/>
                <w:sz w:val="28"/>
                <w:szCs w:val="28"/>
              </w:rPr>
            </w:pPr>
            <w:r w:rsidRPr="00214D46">
              <w:rPr>
                <w:rFonts w:ascii="Arial" w:hAnsi="Arial" w:cs="Arial"/>
                <w:sz w:val="28"/>
                <w:szCs w:val="28"/>
              </w:rPr>
              <w:t>3.89</w:t>
            </w:r>
          </w:p>
        </w:tc>
        <w:tc>
          <w:tcPr>
            <w:tcW w:w="1615" w:type="dxa"/>
          </w:tcPr>
          <w:p w14:paraId="25CCB785" w14:textId="4C12A46E" w:rsidR="00214D46" w:rsidRPr="00214D46" w:rsidRDefault="00214D46" w:rsidP="00FA7C08">
            <w:pPr>
              <w:jc w:val="center"/>
              <w:rPr>
                <w:rFonts w:ascii="Arial" w:hAnsi="Arial" w:cs="Arial"/>
                <w:sz w:val="28"/>
                <w:szCs w:val="28"/>
              </w:rPr>
            </w:pPr>
            <w:r w:rsidRPr="00214D46">
              <w:rPr>
                <w:rFonts w:ascii="Arial" w:hAnsi="Arial" w:cs="Arial"/>
                <w:sz w:val="28"/>
                <w:szCs w:val="28"/>
              </w:rPr>
              <w:t>0.404094</w:t>
            </w:r>
          </w:p>
        </w:tc>
      </w:tr>
    </w:tbl>
    <w:p w14:paraId="51F1DD46" w14:textId="77777777" w:rsidR="00214D46" w:rsidRPr="00214D46" w:rsidRDefault="00214D46" w:rsidP="00901CCA">
      <w:pPr>
        <w:rPr>
          <w:rFonts w:ascii="Arial" w:hAnsi="Arial" w:cs="Arial"/>
          <w:sz w:val="28"/>
          <w:szCs w:val="28"/>
        </w:rPr>
      </w:pPr>
    </w:p>
    <w:p w14:paraId="7DD35C71" w14:textId="2C1237C2" w:rsidR="00901CCA" w:rsidRPr="00901CCA" w:rsidRDefault="00901CCA" w:rsidP="00901CCA">
      <w:pPr>
        <w:rPr>
          <w:rFonts w:ascii="Arial" w:hAnsi="Arial" w:cs="Arial"/>
          <w:sz w:val="28"/>
          <w:szCs w:val="28"/>
        </w:rPr>
      </w:pPr>
      <w:r w:rsidRPr="00901CCA">
        <w:rPr>
          <w:rFonts w:ascii="Arial" w:hAnsi="Arial" w:cs="Arial"/>
          <w:sz w:val="28"/>
          <w:szCs w:val="28"/>
        </w:rPr>
        <w:t xml:space="preserve">This study represents another step in the development of a body of evidence that introductory, time-limited MI training can be an effective means for integrating MI into the vocational rehabilitation process. Additional research on the effect of introductory, time-limited MI training on counselor’s use of MI in the vocational rehabilitation process is warranted. Research to evaluate the effect of the use of MI on employment outcomes </w:t>
      </w:r>
      <w:r w:rsidRPr="00901CCA">
        <w:rPr>
          <w:rFonts w:ascii="Arial" w:hAnsi="Arial" w:cs="Arial"/>
          <w:sz w:val="28"/>
          <w:szCs w:val="28"/>
        </w:rPr>
        <w:lastRenderedPageBreak/>
        <w:t>(i.e. MI versus Non-MI groups) and the quality of the employment (e.g. job match, salary, and benefits) is needed as part of the development a comprehensive data base related to the use of MI in vocational rehabilitation.</w:t>
      </w:r>
    </w:p>
    <w:p w14:paraId="4E352E62" w14:textId="5AAF9EFA" w:rsidR="00901CCA" w:rsidRPr="00901CCA" w:rsidRDefault="00901CCA" w:rsidP="00901CCA">
      <w:pPr>
        <w:rPr>
          <w:rFonts w:ascii="Arial" w:hAnsi="Arial" w:cs="Arial"/>
          <w:b/>
          <w:sz w:val="28"/>
          <w:szCs w:val="28"/>
        </w:rPr>
      </w:pPr>
      <w:r w:rsidRPr="00901CCA">
        <w:rPr>
          <w:rFonts w:ascii="Arial" w:hAnsi="Arial" w:cs="Arial"/>
          <w:b/>
          <w:sz w:val="28"/>
          <w:szCs w:val="28"/>
        </w:rPr>
        <w:t>Acknowledgements:</w:t>
      </w:r>
    </w:p>
    <w:p w14:paraId="69413BFE" w14:textId="77777777" w:rsidR="00901CCA" w:rsidRPr="00901CCA" w:rsidRDefault="00901CCA" w:rsidP="00214D46">
      <w:pPr>
        <w:ind w:left="720"/>
        <w:rPr>
          <w:rFonts w:ascii="Arial" w:hAnsi="Arial" w:cs="Arial"/>
          <w:sz w:val="28"/>
          <w:szCs w:val="28"/>
        </w:rPr>
      </w:pPr>
      <w:r w:rsidRPr="00901CCA">
        <w:rPr>
          <w:rFonts w:ascii="Arial" w:hAnsi="Arial" w:cs="Arial"/>
          <w:sz w:val="28"/>
          <w:szCs w:val="28"/>
        </w:rPr>
        <w:t>The Program Evaluation and Quality Assurance Technical Assistance Center (PEQATAC)</w:t>
      </w:r>
    </w:p>
    <w:p w14:paraId="06A769AD" w14:textId="77777777" w:rsidR="00901CCA" w:rsidRPr="00901CCA" w:rsidRDefault="00901CCA" w:rsidP="00214D46">
      <w:pPr>
        <w:ind w:left="720"/>
        <w:rPr>
          <w:rFonts w:ascii="Arial" w:hAnsi="Arial" w:cs="Arial"/>
          <w:sz w:val="28"/>
          <w:szCs w:val="28"/>
        </w:rPr>
      </w:pPr>
      <w:r w:rsidRPr="00901CCA">
        <w:rPr>
          <w:rFonts w:ascii="Arial" w:hAnsi="Arial" w:cs="Arial"/>
          <w:sz w:val="28"/>
          <w:szCs w:val="28"/>
        </w:rPr>
        <w:t xml:space="preserve">Sukyeong Pi, Ph.D. – Michigan State University, Research Associate </w:t>
      </w:r>
    </w:p>
    <w:p w14:paraId="5F8DC2A0" w14:textId="62C603CC" w:rsidR="00901CCA" w:rsidRDefault="00901CCA" w:rsidP="00214D46">
      <w:pPr>
        <w:ind w:left="720"/>
        <w:rPr>
          <w:rFonts w:ascii="Arial" w:hAnsi="Arial" w:cs="Arial"/>
          <w:sz w:val="28"/>
          <w:szCs w:val="28"/>
        </w:rPr>
      </w:pPr>
      <w:r w:rsidRPr="00901CCA">
        <w:rPr>
          <w:rFonts w:ascii="Arial" w:hAnsi="Arial" w:cs="Arial"/>
          <w:sz w:val="28"/>
          <w:szCs w:val="28"/>
        </w:rPr>
        <w:t>Department of Counseling, Educational Psychology and Special Education</w:t>
      </w:r>
    </w:p>
    <w:p w14:paraId="273366C2" w14:textId="0260501D" w:rsidR="00611BF7" w:rsidRDefault="00611BF7" w:rsidP="00611BF7">
      <w:pPr>
        <w:rPr>
          <w:rFonts w:ascii="Arial" w:hAnsi="Arial" w:cs="Arial"/>
          <w:sz w:val="28"/>
          <w:szCs w:val="28"/>
        </w:rPr>
      </w:pPr>
    </w:p>
    <w:p w14:paraId="43EE1D49" w14:textId="20E64E91" w:rsidR="00611BF7" w:rsidRDefault="00611BF7" w:rsidP="00611BF7">
      <w:pPr>
        <w:rPr>
          <w:rFonts w:ascii="Arial" w:hAnsi="Arial" w:cs="Arial"/>
          <w:sz w:val="28"/>
          <w:szCs w:val="28"/>
        </w:rPr>
      </w:pPr>
    </w:p>
    <w:p w14:paraId="3E60E160" w14:textId="25B2EB68" w:rsidR="00611BF7" w:rsidRDefault="00611BF7" w:rsidP="00611BF7">
      <w:pPr>
        <w:rPr>
          <w:rFonts w:ascii="Arial" w:hAnsi="Arial" w:cs="Arial"/>
          <w:sz w:val="28"/>
          <w:szCs w:val="28"/>
        </w:rPr>
      </w:pPr>
    </w:p>
    <w:p w14:paraId="5BFDABDA" w14:textId="2DB6B771" w:rsidR="00611BF7" w:rsidRDefault="00611BF7" w:rsidP="00611BF7">
      <w:pPr>
        <w:rPr>
          <w:rFonts w:ascii="Arial" w:hAnsi="Arial" w:cs="Arial"/>
          <w:sz w:val="28"/>
          <w:szCs w:val="28"/>
        </w:rPr>
      </w:pPr>
    </w:p>
    <w:p w14:paraId="55A83D72" w14:textId="324A1EA0" w:rsidR="00611BF7" w:rsidRDefault="00611BF7" w:rsidP="00611BF7">
      <w:pPr>
        <w:rPr>
          <w:rFonts w:ascii="Arial" w:hAnsi="Arial" w:cs="Arial"/>
          <w:sz w:val="28"/>
          <w:szCs w:val="28"/>
        </w:rPr>
      </w:pPr>
    </w:p>
    <w:p w14:paraId="60859C4A" w14:textId="00C9BD9F" w:rsidR="00611BF7" w:rsidRDefault="00611BF7" w:rsidP="00611BF7">
      <w:pPr>
        <w:rPr>
          <w:rFonts w:ascii="Arial" w:hAnsi="Arial" w:cs="Arial"/>
          <w:sz w:val="28"/>
          <w:szCs w:val="28"/>
        </w:rPr>
      </w:pPr>
    </w:p>
    <w:p w14:paraId="567C1E1B" w14:textId="729BC521" w:rsidR="00611BF7" w:rsidRDefault="00611BF7" w:rsidP="00611BF7">
      <w:pPr>
        <w:rPr>
          <w:rFonts w:ascii="Arial" w:hAnsi="Arial" w:cs="Arial"/>
          <w:sz w:val="28"/>
          <w:szCs w:val="28"/>
        </w:rPr>
      </w:pPr>
    </w:p>
    <w:p w14:paraId="5CE667B1" w14:textId="0E24CFF0" w:rsidR="00611BF7" w:rsidRDefault="00611BF7" w:rsidP="00611BF7">
      <w:pPr>
        <w:rPr>
          <w:rFonts w:ascii="Arial" w:hAnsi="Arial" w:cs="Arial"/>
          <w:sz w:val="28"/>
          <w:szCs w:val="28"/>
        </w:rPr>
      </w:pPr>
    </w:p>
    <w:p w14:paraId="3549ED79" w14:textId="70281924" w:rsidR="00611BF7" w:rsidRDefault="00611BF7" w:rsidP="00611BF7">
      <w:pPr>
        <w:rPr>
          <w:rFonts w:ascii="Arial" w:hAnsi="Arial" w:cs="Arial"/>
          <w:sz w:val="28"/>
          <w:szCs w:val="28"/>
        </w:rPr>
      </w:pPr>
    </w:p>
    <w:p w14:paraId="4D596048" w14:textId="78CF7AB3" w:rsidR="00611BF7" w:rsidRDefault="00611BF7" w:rsidP="00611BF7">
      <w:pPr>
        <w:rPr>
          <w:rFonts w:ascii="Arial" w:hAnsi="Arial" w:cs="Arial"/>
          <w:sz w:val="28"/>
          <w:szCs w:val="28"/>
        </w:rPr>
      </w:pPr>
    </w:p>
    <w:p w14:paraId="618CA5CA" w14:textId="2E08EB30" w:rsidR="00611BF7" w:rsidRDefault="00611BF7" w:rsidP="00611BF7">
      <w:pPr>
        <w:rPr>
          <w:rFonts w:ascii="Arial" w:hAnsi="Arial" w:cs="Arial"/>
          <w:sz w:val="28"/>
          <w:szCs w:val="28"/>
        </w:rPr>
      </w:pPr>
      <w:r>
        <w:rPr>
          <w:rFonts w:ascii="Arial" w:hAnsi="Arial" w:cs="Arial"/>
          <w:sz w:val="28"/>
          <w:szCs w:val="28"/>
        </w:rPr>
        <w:t>Th</w:t>
      </w:r>
      <w:r w:rsidRPr="00611BF7">
        <w:rPr>
          <w:rFonts w:ascii="Arial" w:hAnsi="Arial" w:cs="Arial"/>
          <w:sz w:val="28"/>
          <w:szCs w:val="28"/>
        </w:rPr>
        <w:t xml:space="preserve">e Stout Technical Assistance Center-Program Evaluation and Quality Assurance (SVRI-PEQA) is </w:t>
      </w:r>
      <w:bookmarkStart w:id="0" w:name="_GoBack"/>
      <w:bookmarkEnd w:id="0"/>
      <w:r w:rsidRPr="00611BF7">
        <w:rPr>
          <w:rFonts w:ascii="Arial" w:hAnsi="Arial" w:cs="Arial"/>
          <w:sz w:val="28"/>
          <w:szCs w:val="28"/>
        </w:rPr>
        <w:t>established under a grant from the Department of Education, Rehabilitation Services Administration (RSA) award number PR#H263B150004</w:t>
      </w:r>
    </w:p>
    <w:p w14:paraId="37AF13ED" w14:textId="41105D89" w:rsidR="00901CCA" w:rsidRPr="00214D46" w:rsidRDefault="0092591C">
      <w:pPr>
        <w:rPr>
          <w:rFonts w:ascii="Arial" w:hAnsi="Arial" w:cs="Arial"/>
          <w:sz w:val="28"/>
          <w:szCs w:val="28"/>
        </w:rPr>
      </w:pPr>
      <w:r>
        <w:rPr>
          <w:noProof/>
        </w:rPr>
        <w:drawing>
          <wp:inline distT="0" distB="0" distL="0" distR="0" wp14:anchorId="3FF2CB7E" wp14:editId="43093314">
            <wp:extent cx="1143683" cy="847725"/>
            <wp:effectExtent l="0" t="0" r="0" b="0"/>
            <wp:docPr id="43" name="Picture 42" descr="Logo - University of Wisconsin - Stout&#10;Feather Image - University of Wisconsin Stout, Wisconsin Polytechnic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2568" cy="854311"/>
                    </a:xfrm>
                    <a:prstGeom prst="rect">
                      <a:avLst/>
                    </a:prstGeom>
                  </pic:spPr>
                </pic:pic>
              </a:graphicData>
            </a:graphic>
          </wp:inline>
        </w:drawing>
      </w:r>
      <w:r>
        <w:rPr>
          <w:noProof/>
        </w:rPr>
        <w:drawing>
          <wp:inline distT="0" distB="0" distL="0" distR="0" wp14:anchorId="508A9C31" wp14:editId="3B8682D8">
            <wp:extent cx="1243330" cy="847725"/>
            <wp:effectExtent l="38100" t="38100" r="90170" b="104775"/>
            <wp:docPr id="44" name="Picture 7" descr="Logo - University of Wisconsin - Madison&#10;Shield with words WISCONSIN, University of Wisconsin Mad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
                    <pic:cNvPicPr>
                      <a:picLocks noChangeAspect="1" noChangeArrowheads="1"/>
                    </pic:cNvPicPr>
                  </pic:nvPicPr>
                  <pic:blipFill>
                    <a:blip r:embed="rId8" cstate="print"/>
                    <a:srcRect/>
                    <a:stretch>
                      <a:fillRect/>
                    </a:stretch>
                  </pic:blipFill>
                  <pic:spPr bwMode="auto">
                    <a:xfrm>
                      <a:off x="0" y="0"/>
                      <a:ext cx="1287974" cy="878164"/>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Pr>
          <w:noProof/>
        </w:rPr>
        <w:drawing>
          <wp:inline distT="0" distB="0" distL="0" distR="0" wp14:anchorId="47D998F9" wp14:editId="73883B5D">
            <wp:extent cx="937662" cy="969010"/>
            <wp:effectExtent l="0" t="0" r="0" b="2540"/>
            <wp:docPr id="45" name="Picture 44" descr="Michigan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1031" cy="993160"/>
                    </a:xfrm>
                    <a:prstGeom prst="rect">
                      <a:avLst/>
                    </a:prstGeom>
                  </pic:spPr>
                </pic:pic>
              </a:graphicData>
            </a:graphic>
          </wp:inline>
        </w:drawing>
      </w:r>
      <w:r>
        <w:rPr>
          <w:noProof/>
        </w:rPr>
        <w:drawing>
          <wp:inline distT="0" distB="0" distL="0" distR="0" wp14:anchorId="44CBC68A" wp14:editId="67039B5E">
            <wp:extent cx="1455252" cy="878199"/>
            <wp:effectExtent l="0" t="0" r="0" b="0"/>
            <wp:docPr id="46" name="Picture 45" descr="The Summit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descr="http://vocational-rehab.com/wp-content/uploads/2012/07/summittran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716" cy="911670"/>
                    </a:xfrm>
                    <a:prstGeom prst="rect">
                      <a:avLst/>
                    </a:prstGeom>
                    <a:noFill/>
                    <a:extLst>
                      <a:ext uri="{909E8E84-426E-40dd-AFC4-6F175D3DCCD1}">
                        <a14:hiddenFill xmlns:lc="http://schemas.openxmlformats.org/drawingml/2006/lockedCanvas" xmlns="" xmlns:a14="http://schemas.microsoft.com/office/drawing/2010/main" xmlns:p="http://schemas.openxmlformats.org/presentationml/2006/main"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inline>
        </w:drawing>
      </w:r>
      <w:r>
        <w:rPr>
          <w:noProof/>
        </w:rPr>
        <w:drawing>
          <wp:inline distT="0" distB="0" distL="0" distR="0" wp14:anchorId="2BE129F0" wp14:editId="616789BB">
            <wp:extent cx="905582" cy="896454"/>
            <wp:effectExtent l="0" t="0" r="8890" b="0"/>
            <wp:docPr id="47" name="Picture 46" descr="CSAV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48603" cy="939041"/>
                    </a:xfrm>
                    <a:prstGeom prst="rect">
                      <a:avLst/>
                    </a:prstGeom>
                  </pic:spPr>
                </pic:pic>
              </a:graphicData>
            </a:graphic>
          </wp:inline>
        </w:drawing>
      </w:r>
    </w:p>
    <w:sectPr w:rsidR="00901CCA" w:rsidRPr="00214D46">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31C48" w14:textId="77777777" w:rsidR="00954D44" w:rsidRDefault="00954D44" w:rsidP="0092591C">
      <w:pPr>
        <w:spacing w:after="0" w:line="240" w:lineRule="auto"/>
      </w:pPr>
      <w:r>
        <w:separator/>
      </w:r>
    </w:p>
  </w:endnote>
  <w:endnote w:type="continuationSeparator" w:id="0">
    <w:p w14:paraId="61C462AE" w14:textId="77777777" w:rsidR="00954D44" w:rsidRDefault="00954D44" w:rsidP="009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6EB7C" w14:textId="6646015D" w:rsidR="0092591C" w:rsidRDefault="0092591C">
    <w:pPr>
      <w:pStyle w:val="Footer"/>
    </w:pPr>
  </w:p>
  <w:p w14:paraId="6C88804D" w14:textId="77777777" w:rsidR="0092591C" w:rsidRDefault="00925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B201C" w14:textId="77777777" w:rsidR="00954D44" w:rsidRDefault="00954D44" w:rsidP="0092591C">
      <w:pPr>
        <w:spacing w:after="0" w:line="240" w:lineRule="auto"/>
      </w:pPr>
      <w:r>
        <w:separator/>
      </w:r>
    </w:p>
  </w:footnote>
  <w:footnote w:type="continuationSeparator" w:id="0">
    <w:p w14:paraId="7EDDED8C" w14:textId="77777777" w:rsidR="00954D44" w:rsidRDefault="00954D44" w:rsidP="009259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CA"/>
    <w:rsid w:val="00214D46"/>
    <w:rsid w:val="005A310E"/>
    <w:rsid w:val="00611BF7"/>
    <w:rsid w:val="006A5CC0"/>
    <w:rsid w:val="007F240F"/>
    <w:rsid w:val="00901CCA"/>
    <w:rsid w:val="0092591C"/>
    <w:rsid w:val="00954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127CD"/>
  <w15:chartTrackingRefBased/>
  <w15:docId w15:val="{7FDE36C2-4D5E-4289-900C-0747D2E6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1CC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01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59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91C"/>
  </w:style>
  <w:style w:type="paragraph" w:styleId="Footer">
    <w:name w:val="footer"/>
    <w:basedOn w:val="Normal"/>
    <w:link w:val="FooterChar"/>
    <w:uiPriority w:val="99"/>
    <w:unhideWhenUsed/>
    <w:rsid w:val="009259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28580">
      <w:bodyDiv w:val="1"/>
      <w:marLeft w:val="0"/>
      <w:marRight w:val="0"/>
      <w:marTop w:val="0"/>
      <w:marBottom w:val="0"/>
      <w:divBdr>
        <w:top w:val="none" w:sz="0" w:space="0" w:color="auto"/>
        <w:left w:val="none" w:sz="0" w:space="0" w:color="auto"/>
        <w:bottom w:val="none" w:sz="0" w:space="0" w:color="auto"/>
        <w:right w:val="none" w:sz="0" w:space="0" w:color="auto"/>
      </w:divBdr>
    </w:div>
    <w:div w:id="279728847">
      <w:bodyDiv w:val="1"/>
      <w:marLeft w:val="0"/>
      <w:marRight w:val="0"/>
      <w:marTop w:val="0"/>
      <w:marBottom w:val="0"/>
      <w:divBdr>
        <w:top w:val="none" w:sz="0" w:space="0" w:color="auto"/>
        <w:left w:val="none" w:sz="0" w:space="0" w:color="auto"/>
        <w:bottom w:val="none" w:sz="0" w:space="0" w:color="auto"/>
        <w:right w:val="none" w:sz="0" w:space="0" w:color="auto"/>
      </w:divBdr>
    </w:div>
    <w:div w:id="575482314">
      <w:bodyDiv w:val="1"/>
      <w:marLeft w:val="0"/>
      <w:marRight w:val="0"/>
      <w:marTop w:val="0"/>
      <w:marBottom w:val="0"/>
      <w:divBdr>
        <w:top w:val="none" w:sz="0" w:space="0" w:color="auto"/>
        <w:left w:val="none" w:sz="0" w:space="0" w:color="auto"/>
        <w:bottom w:val="none" w:sz="0" w:space="0" w:color="auto"/>
        <w:right w:val="none" w:sz="0" w:space="0" w:color="auto"/>
      </w:divBdr>
    </w:div>
    <w:div w:id="635912572">
      <w:bodyDiv w:val="1"/>
      <w:marLeft w:val="0"/>
      <w:marRight w:val="0"/>
      <w:marTop w:val="0"/>
      <w:marBottom w:val="0"/>
      <w:divBdr>
        <w:top w:val="none" w:sz="0" w:space="0" w:color="auto"/>
        <w:left w:val="none" w:sz="0" w:space="0" w:color="auto"/>
        <w:bottom w:val="none" w:sz="0" w:space="0" w:color="auto"/>
        <w:right w:val="none" w:sz="0" w:space="0" w:color="auto"/>
      </w:divBdr>
    </w:div>
    <w:div w:id="929972388">
      <w:bodyDiv w:val="1"/>
      <w:marLeft w:val="0"/>
      <w:marRight w:val="0"/>
      <w:marTop w:val="0"/>
      <w:marBottom w:val="0"/>
      <w:divBdr>
        <w:top w:val="none" w:sz="0" w:space="0" w:color="auto"/>
        <w:left w:val="none" w:sz="0" w:space="0" w:color="auto"/>
        <w:bottom w:val="none" w:sz="0" w:space="0" w:color="auto"/>
        <w:right w:val="none" w:sz="0" w:space="0" w:color="auto"/>
      </w:divBdr>
    </w:div>
    <w:div w:id="1135568314">
      <w:bodyDiv w:val="1"/>
      <w:marLeft w:val="0"/>
      <w:marRight w:val="0"/>
      <w:marTop w:val="0"/>
      <w:marBottom w:val="0"/>
      <w:divBdr>
        <w:top w:val="none" w:sz="0" w:space="0" w:color="auto"/>
        <w:left w:val="none" w:sz="0" w:space="0" w:color="auto"/>
        <w:bottom w:val="none" w:sz="0" w:space="0" w:color="auto"/>
        <w:right w:val="none" w:sz="0" w:space="0" w:color="auto"/>
      </w:divBdr>
    </w:div>
    <w:div w:id="1189097424">
      <w:bodyDiv w:val="1"/>
      <w:marLeft w:val="0"/>
      <w:marRight w:val="0"/>
      <w:marTop w:val="0"/>
      <w:marBottom w:val="0"/>
      <w:divBdr>
        <w:top w:val="none" w:sz="0" w:space="0" w:color="auto"/>
        <w:left w:val="none" w:sz="0" w:space="0" w:color="auto"/>
        <w:bottom w:val="none" w:sz="0" w:space="0" w:color="auto"/>
        <w:right w:val="none" w:sz="0" w:space="0" w:color="auto"/>
      </w:divBdr>
    </w:div>
    <w:div w:id="1369909238">
      <w:bodyDiv w:val="1"/>
      <w:marLeft w:val="0"/>
      <w:marRight w:val="0"/>
      <w:marTop w:val="0"/>
      <w:marBottom w:val="0"/>
      <w:divBdr>
        <w:top w:val="none" w:sz="0" w:space="0" w:color="auto"/>
        <w:left w:val="none" w:sz="0" w:space="0" w:color="auto"/>
        <w:bottom w:val="none" w:sz="0" w:space="0" w:color="auto"/>
        <w:right w:val="none" w:sz="0" w:space="0" w:color="auto"/>
      </w:divBdr>
    </w:div>
    <w:div w:id="1527864859">
      <w:bodyDiv w:val="1"/>
      <w:marLeft w:val="0"/>
      <w:marRight w:val="0"/>
      <w:marTop w:val="0"/>
      <w:marBottom w:val="0"/>
      <w:divBdr>
        <w:top w:val="none" w:sz="0" w:space="0" w:color="auto"/>
        <w:left w:val="none" w:sz="0" w:space="0" w:color="auto"/>
        <w:bottom w:val="none" w:sz="0" w:space="0" w:color="auto"/>
        <w:right w:val="none" w:sz="0" w:space="0" w:color="auto"/>
      </w:divBdr>
    </w:div>
    <w:div w:id="1552375393">
      <w:bodyDiv w:val="1"/>
      <w:marLeft w:val="0"/>
      <w:marRight w:val="0"/>
      <w:marTop w:val="0"/>
      <w:marBottom w:val="0"/>
      <w:divBdr>
        <w:top w:val="none" w:sz="0" w:space="0" w:color="auto"/>
        <w:left w:val="none" w:sz="0" w:space="0" w:color="auto"/>
        <w:bottom w:val="none" w:sz="0" w:space="0" w:color="auto"/>
        <w:right w:val="none" w:sz="0" w:space="0" w:color="auto"/>
      </w:divBdr>
    </w:div>
    <w:div w:id="1583752876">
      <w:bodyDiv w:val="1"/>
      <w:marLeft w:val="0"/>
      <w:marRight w:val="0"/>
      <w:marTop w:val="0"/>
      <w:marBottom w:val="0"/>
      <w:divBdr>
        <w:top w:val="none" w:sz="0" w:space="0" w:color="auto"/>
        <w:left w:val="none" w:sz="0" w:space="0" w:color="auto"/>
        <w:bottom w:val="none" w:sz="0" w:space="0" w:color="auto"/>
        <w:right w:val="none" w:sz="0" w:space="0" w:color="auto"/>
      </w:divBdr>
    </w:div>
    <w:div w:id="177585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Nierenhausen, Erin</dc:creator>
  <cp:keywords/>
  <dc:description/>
  <cp:lastModifiedBy>Theresa Kulow</cp:lastModifiedBy>
  <cp:revision>3</cp:revision>
  <dcterms:created xsi:type="dcterms:W3CDTF">2019-05-07T18:14:00Z</dcterms:created>
  <dcterms:modified xsi:type="dcterms:W3CDTF">2019-06-04T17:18:00Z</dcterms:modified>
</cp:coreProperties>
</file>